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sz w:val="36"/>
          <w:szCs w:val="36"/>
        </w:rPr>
      </w:pPr>
    </w:p>
    <w:p>
      <w:pPr>
        <w:jc w:val="center"/>
        <w:rPr>
          <w:rFonts w:ascii="宋体" w:hAnsi="宋体"/>
          <w:sz w:val="36"/>
          <w:szCs w:val="36"/>
        </w:rPr>
      </w:pPr>
    </w:p>
    <w:p>
      <w:pPr>
        <w:jc w:val="center"/>
        <w:rPr>
          <w:rFonts w:ascii="宋体" w:hAnsi="宋体"/>
          <w:sz w:val="36"/>
          <w:szCs w:val="36"/>
        </w:rPr>
      </w:pPr>
    </w:p>
    <w:p>
      <w:pPr>
        <w:jc w:val="center"/>
        <w:rPr>
          <w:rFonts w:ascii="宋体" w:hAnsi="宋体"/>
          <w:sz w:val="36"/>
          <w:szCs w:val="36"/>
        </w:rPr>
      </w:pP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rPr>
          <w:rFonts w:hint="eastAsia" w:ascii="黑体" w:hAnsi="黑体" w:eastAsia="黑体" w:cs="黑体"/>
          <w:b/>
          <w:spacing w:val="20"/>
          <w:sz w:val="48"/>
          <w:szCs w:val="48"/>
        </w:rPr>
      </w:pPr>
      <w:r>
        <w:rPr>
          <w:rFonts w:hint="eastAsia" w:ascii="黑体" w:hAnsi="黑体" w:eastAsia="黑体" w:cs="黑体"/>
          <w:b/>
          <w:spacing w:val="20"/>
          <w:sz w:val="48"/>
          <w:szCs w:val="48"/>
        </w:rPr>
        <w:t>《</w:t>
      </w:r>
      <w:r>
        <w:rPr>
          <w:rFonts w:hint="eastAsia" w:ascii="黑体" w:hAnsi="黑体" w:eastAsia="黑体" w:cs="黑体"/>
          <w:b/>
          <w:spacing w:val="20"/>
          <w:sz w:val="48"/>
          <w:szCs w:val="48"/>
          <w:lang w:eastAsia="zh-CN"/>
        </w:rPr>
        <w:t>涉重金属矿山环境污染防治技术指南  第2部分：调查评价</w:t>
      </w:r>
      <w:r>
        <w:rPr>
          <w:rFonts w:hint="eastAsia" w:ascii="黑体" w:hAnsi="黑体" w:eastAsia="黑体" w:cs="黑体"/>
          <w:b/>
          <w:spacing w:val="20"/>
          <w:sz w:val="48"/>
          <w:szCs w:val="48"/>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rPr>
          <w:rFonts w:hint="eastAsia" w:ascii="黑体" w:hAnsi="黑体" w:eastAsia="黑体" w:cs="黑体"/>
          <w:b/>
          <w:spacing w:val="20"/>
          <w:sz w:val="48"/>
          <w:szCs w:val="48"/>
        </w:rPr>
      </w:pPr>
      <w:r>
        <w:rPr>
          <w:rFonts w:hint="eastAsia" w:ascii="黑体" w:hAnsi="黑体" w:eastAsia="黑体" w:cs="黑体"/>
          <w:b/>
          <w:spacing w:val="20"/>
          <w:sz w:val="48"/>
          <w:szCs w:val="48"/>
        </w:rPr>
        <w:t>（</w:t>
      </w:r>
      <w:r>
        <w:rPr>
          <w:rFonts w:hint="eastAsia" w:ascii="黑体" w:hAnsi="黑体" w:eastAsia="黑体" w:cs="黑体"/>
          <w:b/>
          <w:spacing w:val="20"/>
          <w:sz w:val="48"/>
          <w:szCs w:val="48"/>
          <w:lang w:val="en-US" w:eastAsia="zh-CN"/>
        </w:rPr>
        <w:t>征求意见稿</w:t>
      </w:r>
      <w:r>
        <w:rPr>
          <w:rFonts w:hint="eastAsia" w:ascii="黑体" w:hAnsi="黑体" w:eastAsia="黑体" w:cs="黑体"/>
          <w:b/>
          <w:spacing w:val="20"/>
          <w:sz w:val="48"/>
          <w:szCs w:val="48"/>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rPr>
          <w:rFonts w:hint="eastAsia" w:ascii="黑体" w:hAnsi="黑体" w:eastAsia="黑体" w:cs="黑体"/>
          <w:b/>
          <w:sz w:val="48"/>
          <w:szCs w:val="48"/>
        </w:rPr>
      </w:pPr>
      <w:r>
        <w:rPr>
          <w:rFonts w:hint="eastAsia" w:ascii="黑体" w:hAnsi="黑体" w:eastAsia="黑体" w:cs="黑体"/>
          <w:b/>
          <w:spacing w:val="20"/>
          <w:sz w:val="48"/>
          <w:szCs w:val="48"/>
        </w:rPr>
        <w:t>编制说明</w:t>
      </w:r>
    </w:p>
    <w:p>
      <w:pPr>
        <w:jc w:val="center"/>
        <w:rPr>
          <w:rFonts w:ascii="宋体" w:hAnsi="宋体"/>
          <w:sz w:val="36"/>
          <w:szCs w:val="36"/>
        </w:rPr>
      </w:pPr>
    </w:p>
    <w:p>
      <w:pPr>
        <w:jc w:val="center"/>
        <w:rPr>
          <w:rFonts w:ascii="宋体" w:hAnsi="宋体"/>
          <w:sz w:val="36"/>
          <w:szCs w:val="36"/>
        </w:rPr>
      </w:pPr>
    </w:p>
    <w:p>
      <w:pPr>
        <w:jc w:val="center"/>
        <w:rPr>
          <w:rFonts w:ascii="宋体" w:hAnsi="宋体"/>
          <w:sz w:val="36"/>
          <w:szCs w:val="36"/>
        </w:rPr>
      </w:pPr>
    </w:p>
    <w:p>
      <w:pPr>
        <w:jc w:val="center"/>
        <w:rPr>
          <w:rFonts w:ascii="宋体" w:hAnsi="宋体"/>
          <w:sz w:val="36"/>
          <w:szCs w:val="36"/>
        </w:rPr>
      </w:pPr>
    </w:p>
    <w:p>
      <w:pPr>
        <w:jc w:val="center"/>
        <w:rPr>
          <w:rFonts w:ascii="宋体" w:hAnsi="宋体"/>
          <w:sz w:val="36"/>
          <w:szCs w:val="36"/>
        </w:rPr>
      </w:pPr>
    </w:p>
    <w:p>
      <w:pPr>
        <w:jc w:val="center"/>
        <w:rPr>
          <w:rFonts w:ascii="宋体" w:hAnsi="宋体"/>
          <w:sz w:val="36"/>
          <w:szCs w:val="36"/>
        </w:rPr>
      </w:pPr>
    </w:p>
    <w:p>
      <w:pPr>
        <w:jc w:val="center"/>
        <w:rPr>
          <w:rFonts w:ascii="宋体" w:hAnsi="宋体"/>
          <w:sz w:val="36"/>
          <w:szCs w:val="36"/>
        </w:rPr>
      </w:pPr>
    </w:p>
    <w:p>
      <w:pPr>
        <w:jc w:val="center"/>
        <w:rPr>
          <w:rFonts w:ascii="宋体" w:hAnsi="宋体"/>
          <w:sz w:val="36"/>
          <w:szCs w:val="36"/>
        </w:rPr>
      </w:pPr>
    </w:p>
    <w:p>
      <w:pPr>
        <w:jc w:val="center"/>
        <w:rPr>
          <w:rFonts w:ascii="宋体" w:hAnsi="宋体"/>
          <w:sz w:val="36"/>
          <w:szCs w:val="36"/>
        </w:rPr>
      </w:pPr>
    </w:p>
    <w:p>
      <w:pPr>
        <w:ind w:firstLine="0" w:firstLineChars="0"/>
        <w:jc w:val="center"/>
        <w:rPr>
          <w:rFonts w:hint="eastAsia" w:ascii="黑体" w:hAnsi="黑体" w:eastAsia="黑体" w:cs="黑体"/>
          <w:sz w:val="32"/>
          <w:szCs w:val="32"/>
          <w:lang w:val="en-US" w:eastAsia="zh-CN" w:bidi="ar"/>
        </w:rPr>
      </w:pPr>
      <w:r>
        <w:rPr>
          <w:rFonts w:hint="eastAsia" w:ascii="黑体" w:hAnsi="黑体" w:eastAsia="黑体" w:cs="黑体"/>
          <w:sz w:val="32"/>
          <w:szCs w:val="32"/>
          <w:lang w:val="en-US" w:eastAsia="zh-CN" w:bidi="ar"/>
        </w:rPr>
        <w:t>标准起草组</w:t>
      </w:r>
    </w:p>
    <w:p>
      <w:pPr>
        <w:pStyle w:val="2"/>
        <w:ind w:left="0" w:leftChars="0" w:firstLine="0" w:firstLineChars="0"/>
        <w:jc w:val="center"/>
        <w:rPr>
          <w:rFonts w:hint="eastAsia" w:ascii="黑体" w:hAnsi="黑体" w:eastAsia="黑体" w:cs="黑体"/>
          <w:sz w:val="32"/>
          <w:szCs w:val="32"/>
          <w:highlight w:val="none"/>
          <w:lang w:val="en-US" w:eastAsia="zh-CN" w:bidi="ar"/>
        </w:rPr>
        <w:sectPr>
          <w:footerReference r:id="rId4" w:type="first"/>
          <w:footerReference r:id="rId3" w:type="default"/>
          <w:pgSz w:w="11906" w:h="16838"/>
          <w:pgMar w:top="1440" w:right="1797" w:bottom="1440" w:left="1797" w:header="851" w:footer="992" w:gutter="0"/>
          <w:pgNumType w:start="0"/>
          <w:cols w:space="720" w:num="1"/>
          <w:docGrid w:type="lines" w:linePitch="312" w:charSpace="0"/>
        </w:sectPr>
      </w:pPr>
      <w:r>
        <w:rPr>
          <w:rFonts w:hint="eastAsia" w:ascii="黑体" w:hAnsi="黑体" w:eastAsia="黑体" w:cs="黑体"/>
          <w:sz w:val="32"/>
          <w:szCs w:val="32"/>
          <w:highlight w:val="none"/>
          <w:lang w:val="en-US" w:eastAsia="zh-CN" w:bidi="ar"/>
        </w:rPr>
        <w:t>2025年4</w:t>
      </w:r>
      <w:bookmarkStart w:id="47" w:name="_GoBack"/>
      <w:bookmarkEnd w:id="47"/>
      <w:r>
        <w:rPr>
          <w:rFonts w:hint="eastAsia" w:ascii="黑体" w:hAnsi="黑体" w:eastAsia="黑体" w:cs="黑体"/>
          <w:sz w:val="32"/>
          <w:szCs w:val="32"/>
          <w:highlight w:val="none"/>
          <w:lang w:val="en-US" w:eastAsia="zh-CN" w:bidi="ar"/>
        </w:rPr>
        <w:t>月</w:t>
      </w:r>
    </w:p>
    <w:p>
      <w:pPr>
        <w:pStyle w:val="2"/>
        <w:ind w:left="0" w:leftChars="0" w:firstLine="0" w:firstLineChars="0"/>
        <w:jc w:val="center"/>
        <w:rPr>
          <w:rFonts w:hint="default" w:ascii="黑体" w:hAnsi="黑体" w:eastAsia="黑体" w:cs="黑体"/>
          <w:sz w:val="32"/>
          <w:szCs w:val="32"/>
          <w:lang w:val="en-US" w:eastAsia="zh-CN" w:bidi="ar"/>
        </w:rPr>
        <w:sectPr>
          <w:pgSz w:w="11906" w:h="16838"/>
          <w:pgMar w:top="1440" w:right="1797" w:bottom="1440" w:left="1797" w:header="851" w:footer="992" w:gutter="0"/>
          <w:pgNumType w:start="0"/>
          <w:cols w:space="720" w:num="1"/>
          <w:docGrid w:type="lines" w:linePitch="312" w:charSpace="0"/>
        </w:sectPr>
      </w:pPr>
    </w:p>
    <w:p>
      <w:pPr>
        <w:jc w:val="center"/>
        <w:rPr>
          <w:rFonts w:ascii="宋体" w:hAnsi="宋体" w:eastAsia="宋体" w:cs="Times New Roman"/>
          <w:kern w:val="2"/>
          <w:sz w:val="21"/>
          <w:szCs w:val="21"/>
          <w:highlight w:val="none"/>
          <w:lang w:val="en-US" w:eastAsia="zh-CN" w:bidi="ar-SA"/>
        </w:rPr>
      </w:pPr>
      <w:bookmarkStart w:id="0" w:name="_Toc42346183"/>
      <w:bookmarkStart w:id="1" w:name="_Toc42346116"/>
      <w:bookmarkStart w:id="2" w:name="_Toc42343219"/>
      <w:bookmarkStart w:id="3" w:name="_Toc50471952"/>
      <w:bookmarkStart w:id="4" w:name="_Toc77689717"/>
      <w:bookmarkStart w:id="5" w:name="_Toc103003552"/>
      <w:r>
        <w:rPr>
          <w:rFonts w:hint="eastAsia" w:ascii="黑体" w:hAnsi="黑体" w:eastAsia="黑体" w:cs="黑体"/>
          <w:b/>
          <w:bCs w:val="0"/>
          <w:sz w:val="32"/>
          <w:szCs w:val="32"/>
          <w:highlight w:val="none"/>
        </w:rPr>
        <w:t>目  次</w:t>
      </w:r>
      <w:bookmarkEnd w:id="0"/>
      <w:bookmarkEnd w:id="1"/>
      <w:bookmarkEnd w:id="2"/>
      <w:bookmarkEnd w:id="3"/>
      <w:bookmarkEnd w:id="4"/>
      <w:bookmarkEnd w:id="5"/>
      <w:r>
        <w:rPr>
          <w:rFonts w:ascii="宋体" w:hAnsi="宋体"/>
          <w:sz w:val="21"/>
          <w:szCs w:val="21"/>
          <w:highlight w:val="none"/>
        </w:rPr>
        <w:fldChar w:fldCharType="begin"/>
      </w:r>
      <w:r>
        <w:rPr>
          <w:rFonts w:ascii="宋体" w:hAnsi="宋体"/>
          <w:sz w:val="21"/>
          <w:szCs w:val="21"/>
          <w:highlight w:val="none"/>
        </w:rPr>
        <w:instrText xml:space="preserve"> TOC \o "1-2" \h \z \u </w:instrText>
      </w:r>
      <w:r>
        <w:rPr>
          <w:rFonts w:ascii="宋体" w:hAnsi="宋体"/>
          <w:sz w:val="21"/>
          <w:szCs w:val="21"/>
          <w:highlight w:val="none"/>
        </w:rPr>
        <w:fldChar w:fldCharType="separate"/>
      </w:r>
    </w:p>
    <w:p>
      <w:pPr>
        <w:pStyle w:val="25"/>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HYPERLINK \l _Toc11100 </w:instrText>
      </w:r>
      <w:r>
        <w:rPr>
          <w:rFonts w:hint="eastAsia" w:ascii="仿宋" w:hAnsi="仿宋" w:eastAsia="仿宋" w:cs="仿宋"/>
          <w:b/>
          <w:bCs/>
          <w:sz w:val="28"/>
          <w:szCs w:val="28"/>
          <w:highlight w:val="none"/>
        </w:rPr>
        <w:fldChar w:fldCharType="separate"/>
      </w:r>
      <w:r>
        <w:rPr>
          <w:rFonts w:hint="eastAsia" w:ascii="仿宋" w:hAnsi="仿宋" w:eastAsia="仿宋" w:cs="仿宋"/>
          <w:b/>
          <w:bCs/>
          <w:kern w:val="44"/>
          <w:sz w:val="28"/>
          <w:szCs w:val="28"/>
          <w:highlight w:val="none"/>
        </w:rPr>
        <w:t>1 任务来源</w:t>
      </w:r>
      <w:r>
        <w:rPr>
          <w:rFonts w:hint="eastAsia" w:ascii="仿宋" w:hAnsi="仿宋" w:eastAsia="仿宋" w:cs="仿宋"/>
          <w:b/>
          <w:bCs/>
          <w:sz w:val="28"/>
          <w:szCs w:val="28"/>
          <w:highlight w:val="none"/>
        </w:rPr>
        <w:tab/>
      </w: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PAGEREF _Toc11100 </w:instrText>
      </w:r>
      <w:r>
        <w:rPr>
          <w:rFonts w:hint="eastAsia" w:ascii="仿宋" w:hAnsi="仿宋" w:eastAsia="仿宋" w:cs="仿宋"/>
          <w:b/>
          <w:bCs/>
          <w:sz w:val="28"/>
          <w:szCs w:val="28"/>
          <w:highlight w:val="none"/>
        </w:rPr>
        <w:fldChar w:fldCharType="separate"/>
      </w:r>
      <w:r>
        <w:rPr>
          <w:rFonts w:hint="eastAsia" w:ascii="仿宋" w:hAnsi="仿宋" w:eastAsia="仿宋" w:cs="仿宋"/>
          <w:b/>
          <w:bCs/>
          <w:sz w:val="28"/>
          <w:szCs w:val="28"/>
          <w:highlight w:val="none"/>
        </w:rPr>
        <w:t>1</w:t>
      </w:r>
      <w:r>
        <w:rPr>
          <w:rFonts w:hint="eastAsia" w:ascii="仿宋" w:hAnsi="仿宋" w:eastAsia="仿宋" w:cs="仿宋"/>
          <w:b/>
          <w:bCs/>
          <w:sz w:val="28"/>
          <w:szCs w:val="28"/>
          <w:highlight w:val="none"/>
        </w:rPr>
        <w:fldChar w:fldCharType="end"/>
      </w:r>
      <w:r>
        <w:rPr>
          <w:rFonts w:hint="eastAsia" w:ascii="仿宋" w:hAnsi="仿宋" w:eastAsia="仿宋" w:cs="仿宋"/>
          <w:b/>
          <w:bCs/>
          <w:sz w:val="28"/>
          <w:szCs w:val="28"/>
          <w:highlight w:val="none"/>
        </w:rPr>
        <w:fldChar w:fldCharType="end"/>
      </w:r>
    </w:p>
    <w:p>
      <w:pPr>
        <w:pStyle w:val="25"/>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HYPERLINK \l _Toc6577 </w:instrText>
      </w:r>
      <w:r>
        <w:rPr>
          <w:rFonts w:hint="eastAsia" w:ascii="仿宋" w:hAnsi="仿宋" w:eastAsia="仿宋" w:cs="仿宋"/>
          <w:b/>
          <w:bCs/>
          <w:sz w:val="28"/>
          <w:szCs w:val="28"/>
          <w:highlight w:val="none"/>
        </w:rPr>
        <w:fldChar w:fldCharType="separate"/>
      </w:r>
      <w:r>
        <w:rPr>
          <w:rFonts w:hint="eastAsia" w:ascii="仿宋" w:hAnsi="仿宋" w:eastAsia="仿宋" w:cs="仿宋"/>
          <w:b/>
          <w:bCs/>
          <w:kern w:val="44"/>
          <w:sz w:val="28"/>
          <w:szCs w:val="28"/>
          <w:highlight w:val="none"/>
        </w:rPr>
        <w:t>2 编制目的及意义</w:t>
      </w:r>
      <w:r>
        <w:rPr>
          <w:rFonts w:hint="eastAsia" w:ascii="仿宋" w:hAnsi="仿宋" w:eastAsia="仿宋" w:cs="仿宋"/>
          <w:b/>
          <w:bCs/>
          <w:sz w:val="28"/>
          <w:szCs w:val="28"/>
          <w:highlight w:val="none"/>
        </w:rPr>
        <w:tab/>
      </w: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PAGEREF _Toc6577 </w:instrText>
      </w:r>
      <w:r>
        <w:rPr>
          <w:rFonts w:hint="eastAsia" w:ascii="仿宋" w:hAnsi="仿宋" w:eastAsia="仿宋" w:cs="仿宋"/>
          <w:b/>
          <w:bCs/>
          <w:sz w:val="28"/>
          <w:szCs w:val="28"/>
          <w:highlight w:val="none"/>
        </w:rPr>
        <w:fldChar w:fldCharType="separate"/>
      </w:r>
      <w:r>
        <w:rPr>
          <w:rFonts w:hint="eastAsia" w:ascii="仿宋" w:hAnsi="仿宋" w:eastAsia="仿宋" w:cs="仿宋"/>
          <w:b/>
          <w:bCs/>
          <w:sz w:val="28"/>
          <w:szCs w:val="28"/>
          <w:highlight w:val="none"/>
        </w:rPr>
        <w:t>1</w:t>
      </w:r>
      <w:r>
        <w:rPr>
          <w:rFonts w:hint="eastAsia" w:ascii="仿宋" w:hAnsi="仿宋" w:eastAsia="仿宋" w:cs="仿宋"/>
          <w:b/>
          <w:bCs/>
          <w:sz w:val="28"/>
          <w:szCs w:val="28"/>
          <w:highlight w:val="none"/>
        </w:rPr>
        <w:fldChar w:fldCharType="end"/>
      </w:r>
      <w:r>
        <w:rPr>
          <w:rFonts w:hint="eastAsia" w:ascii="仿宋" w:hAnsi="仿宋" w:eastAsia="仿宋" w:cs="仿宋"/>
          <w:b/>
          <w:bCs/>
          <w:sz w:val="28"/>
          <w:szCs w:val="28"/>
          <w:highlight w:val="none"/>
        </w:rPr>
        <w:fldChar w:fldCharType="end"/>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_Toc4999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2.1编制目的</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_Toc4999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1</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8"/>
          <w:highlight w:val="none"/>
        </w:rPr>
        <w:fldChar w:fldCharType="end"/>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_Toc28213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2.2 编制意义</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_Toc28213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1</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8"/>
          <w:highlight w:val="none"/>
        </w:rPr>
        <w:fldChar w:fldCharType="end"/>
      </w:r>
    </w:p>
    <w:p>
      <w:pPr>
        <w:pStyle w:val="25"/>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HYPERLINK \l _Toc400 </w:instrText>
      </w:r>
      <w:r>
        <w:rPr>
          <w:rFonts w:hint="eastAsia" w:ascii="仿宋" w:hAnsi="仿宋" w:eastAsia="仿宋" w:cs="仿宋"/>
          <w:b/>
          <w:bCs/>
          <w:sz w:val="28"/>
          <w:szCs w:val="28"/>
          <w:highlight w:val="none"/>
        </w:rPr>
        <w:fldChar w:fldCharType="separate"/>
      </w:r>
      <w:r>
        <w:rPr>
          <w:rFonts w:hint="eastAsia" w:ascii="仿宋" w:hAnsi="仿宋" w:eastAsia="仿宋" w:cs="仿宋"/>
          <w:b/>
          <w:bCs/>
          <w:kern w:val="44"/>
          <w:sz w:val="28"/>
          <w:szCs w:val="28"/>
          <w:highlight w:val="none"/>
        </w:rPr>
        <w:t>3 承担单位及</w:t>
      </w:r>
      <w:r>
        <w:rPr>
          <w:rFonts w:hint="eastAsia" w:ascii="仿宋" w:hAnsi="仿宋" w:eastAsia="仿宋" w:cs="仿宋"/>
          <w:b/>
          <w:bCs/>
          <w:kern w:val="44"/>
          <w:sz w:val="28"/>
          <w:szCs w:val="28"/>
          <w:highlight w:val="none"/>
          <w:lang w:val="en-US" w:eastAsia="zh-CN"/>
        </w:rPr>
        <w:t>任务分工</w:t>
      </w:r>
      <w:r>
        <w:rPr>
          <w:rFonts w:hint="eastAsia" w:ascii="仿宋" w:hAnsi="仿宋" w:eastAsia="仿宋" w:cs="仿宋"/>
          <w:b/>
          <w:bCs/>
          <w:sz w:val="28"/>
          <w:szCs w:val="28"/>
          <w:highlight w:val="none"/>
        </w:rPr>
        <w:tab/>
      </w: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PAGEREF _Toc400 </w:instrText>
      </w:r>
      <w:r>
        <w:rPr>
          <w:rFonts w:hint="eastAsia" w:ascii="仿宋" w:hAnsi="仿宋" w:eastAsia="仿宋" w:cs="仿宋"/>
          <w:b/>
          <w:bCs/>
          <w:sz w:val="28"/>
          <w:szCs w:val="28"/>
          <w:highlight w:val="none"/>
        </w:rPr>
        <w:fldChar w:fldCharType="separate"/>
      </w:r>
      <w:r>
        <w:rPr>
          <w:rFonts w:hint="eastAsia" w:ascii="仿宋" w:hAnsi="仿宋" w:eastAsia="仿宋" w:cs="仿宋"/>
          <w:b/>
          <w:bCs/>
          <w:sz w:val="28"/>
          <w:szCs w:val="28"/>
          <w:highlight w:val="none"/>
        </w:rPr>
        <w:t>2</w:t>
      </w:r>
      <w:r>
        <w:rPr>
          <w:rFonts w:hint="eastAsia" w:ascii="仿宋" w:hAnsi="仿宋" w:eastAsia="仿宋" w:cs="仿宋"/>
          <w:b/>
          <w:bCs/>
          <w:sz w:val="28"/>
          <w:szCs w:val="28"/>
          <w:highlight w:val="none"/>
        </w:rPr>
        <w:fldChar w:fldCharType="end"/>
      </w:r>
      <w:r>
        <w:rPr>
          <w:rFonts w:hint="eastAsia" w:ascii="仿宋" w:hAnsi="仿宋" w:eastAsia="仿宋" w:cs="仿宋"/>
          <w:b/>
          <w:bCs/>
          <w:sz w:val="28"/>
          <w:szCs w:val="28"/>
          <w:highlight w:val="none"/>
        </w:rPr>
        <w:fldChar w:fldCharType="end"/>
      </w:r>
    </w:p>
    <w:p>
      <w:pPr>
        <w:pStyle w:val="25"/>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HYPERLINK \l _Toc10623 </w:instrText>
      </w:r>
      <w:r>
        <w:rPr>
          <w:rFonts w:hint="eastAsia" w:ascii="仿宋" w:hAnsi="仿宋" w:eastAsia="仿宋" w:cs="仿宋"/>
          <w:b/>
          <w:bCs/>
          <w:sz w:val="28"/>
          <w:szCs w:val="28"/>
          <w:highlight w:val="none"/>
        </w:rPr>
        <w:fldChar w:fldCharType="separate"/>
      </w:r>
      <w:r>
        <w:rPr>
          <w:rFonts w:hint="eastAsia" w:ascii="仿宋" w:hAnsi="仿宋" w:eastAsia="仿宋" w:cs="仿宋"/>
          <w:b/>
          <w:bCs/>
          <w:kern w:val="44"/>
          <w:sz w:val="28"/>
          <w:szCs w:val="28"/>
          <w:highlight w:val="none"/>
        </w:rPr>
        <w:t>4 工作过程</w:t>
      </w:r>
      <w:r>
        <w:rPr>
          <w:rFonts w:hint="eastAsia" w:ascii="仿宋" w:hAnsi="仿宋" w:eastAsia="仿宋" w:cs="仿宋"/>
          <w:b/>
          <w:bCs/>
          <w:sz w:val="28"/>
          <w:szCs w:val="28"/>
          <w:highlight w:val="none"/>
        </w:rPr>
        <w:tab/>
      </w: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PAGEREF _Toc10623 </w:instrText>
      </w:r>
      <w:r>
        <w:rPr>
          <w:rFonts w:hint="eastAsia" w:ascii="仿宋" w:hAnsi="仿宋" w:eastAsia="仿宋" w:cs="仿宋"/>
          <w:b/>
          <w:bCs/>
          <w:sz w:val="28"/>
          <w:szCs w:val="28"/>
          <w:highlight w:val="none"/>
        </w:rPr>
        <w:fldChar w:fldCharType="separate"/>
      </w:r>
      <w:r>
        <w:rPr>
          <w:rFonts w:hint="eastAsia" w:ascii="仿宋" w:hAnsi="仿宋" w:eastAsia="仿宋" w:cs="仿宋"/>
          <w:b/>
          <w:bCs/>
          <w:sz w:val="28"/>
          <w:szCs w:val="28"/>
          <w:highlight w:val="none"/>
        </w:rPr>
        <w:t>3</w:t>
      </w:r>
      <w:r>
        <w:rPr>
          <w:rFonts w:hint="eastAsia" w:ascii="仿宋" w:hAnsi="仿宋" w:eastAsia="仿宋" w:cs="仿宋"/>
          <w:b/>
          <w:bCs/>
          <w:sz w:val="28"/>
          <w:szCs w:val="28"/>
          <w:highlight w:val="none"/>
        </w:rPr>
        <w:fldChar w:fldCharType="end"/>
      </w:r>
      <w:r>
        <w:rPr>
          <w:rFonts w:hint="eastAsia" w:ascii="仿宋" w:hAnsi="仿宋" w:eastAsia="仿宋" w:cs="仿宋"/>
          <w:b/>
          <w:bCs/>
          <w:sz w:val="28"/>
          <w:szCs w:val="28"/>
          <w:highlight w:val="none"/>
        </w:rPr>
        <w:fldChar w:fldCharType="end"/>
      </w:r>
    </w:p>
    <w:p>
      <w:pPr>
        <w:pStyle w:val="25"/>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HYPERLINK \l _Toc26401 </w:instrText>
      </w:r>
      <w:r>
        <w:rPr>
          <w:rFonts w:hint="eastAsia" w:ascii="仿宋" w:hAnsi="仿宋" w:eastAsia="仿宋" w:cs="仿宋"/>
          <w:b/>
          <w:bCs/>
          <w:sz w:val="28"/>
          <w:szCs w:val="28"/>
          <w:highlight w:val="none"/>
        </w:rPr>
        <w:fldChar w:fldCharType="separate"/>
      </w:r>
      <w:r>
        <w:rPr>
          <w:rFonts w:hint="eastAsia" w:ascii="仿宋" w:hAnsi="仿宋" w:eastAsia="仿宋" w:cs="仿宋"/>
          <w:b/>
          <w:bCs/>
          <w:kern w:val="44"/>
          <w:sz w:val="28"/>
          <w:szCs w:val="28"/>
          <w:highlight w:val="none"/>
        </w:rPr>
        <w:t>5 标准制订的依据</w:t>
      </w:r>
      <w:r>
        <w:rPr>
          <w:rFonts w:hint="eastAsia" w:ascii="仿宋" w:hAnsi="仿宋" w:eastAsia="仿宋" w:cs="仿宋"/>
          <w:b/>
          <w:bCs/>
          <w:kern w:val="44"/>
          <w:sz w:val="28"/>
          <w:szCs w:val="28"/>
          <w:highlight w:val="none"/>
          <w:lang w:val="en-US" w:eastAsia="zh-CN"/>
        </w:rPr>
        <w:t>与原则</w:t>
      </w:r>
      <w:r>
        <w:rPr>
          <w:rFonts w:hint="eastAsia" w:ascii="仿宋" w:hAnsi="仿宋" w:eastAsia="仿宋" w:cs="仿宋"/>
          <w:b/>
          <w:bCs/>
          <w:sz w:val="28"/>
          <w:szCs w:val="28"/>
          <w:highlight w:val="none"/>
        </w:rPr>
        <w:tab/>
      </w: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PAGEREF _Toc26401 </w:instrText>
      </w:r>
      <w:r>
        <w:rPr>
          <w:rFonts w:hint="eastAsia" w:ascii="仿宋" w:hAnsi="仿宋" w:eastAsia="仿宋" w:cs="仿宋"/>
          <w:b/>
          <w:bCs/>
          <w:sz w:val="28"/>
          <w:szCs w:val="28"/>
          <w:highlight w:val="none"/>
        </w:rPr>
        <w:fldChar w:fldCharType="separate"/>
      </w:r>
      <w:r>
        <w:rPr>
          <w:rFonts w:hint="eastAsia" w:ascii="仿宋" w:hAnsi="仿宋" w:eastAsia="仿宋" w:cs="仿宋"/>
          <w:b/>
          <w:bCs/>
          <w:sz w:val="28"/>
          <w:szCs w:val="28"/>
          <w:highlight w:val="none"/>
        </w:rPr>
        <w:t>5</w:t>
      </w:r>
      <w:r>
        <w:rPr>
          <w:rFonts w:hint="eastAsia" w:ascii="仿宋" w:hAnsi="仿宋" w:eastAsia="仿宋" w:cs="仿宋"/>
          <w:b/>
          <w:bCs/>
          <w:sz w:val="28"/>
          <w:szCs w:val="28"/>
          <w:highlight w:val="none"/>
        </w:rPr>
        <w:fldChar w:fldCharType="end"/>
      </w:r>
      <w:r>
        <w:rPr>
          <w:rFonts w:hint="eastAsia" w:ascii="仿宋" w:hAnsi="仿宋" w:eastAsia="仿宋" w:cs="仿宋"/>
          <w:b/>
          <w:bCs/>
          <w:sz w:val="28"/>
          <w:szCs w:val="28"/>
          <w:highlight w:val="none"/>
        </w:rPr>
        <w:fldChar w:fldCharType="end"/>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_Toc15261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5.1 编制依据</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_Toc15261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5</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8"/>
          <w:highlight w:val="none"/>
        </w:rPr>
        <w:fldChar w:fldCharType="end"/>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_Toc19701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5.2 编制原则</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_Toc19701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5</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8"/>
          <w:highlight w:val="none"/>
        </w:rPr>
        <w:fldChar w:fldCharType="end"/>
      </w:r>
    </w:p>
    <w:p>
      <w:pPr>
        <w:pStyle w:val="25"/>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HYPERLINK \l _Toc1974 </w:instrText>
      </w:r>
      <w:r>
        <w:rPr>
          <w:rFonts w:hint="eastAsia" w:ascii="仿宋" w:hAnsi="仿宋" w:eastAsia="仿宋" w:cs="仿宋"/>
          <w:b/>
          <w:bCs/>
          <w:sz w:val="28"/>
          <w:szCs w:val="28"/>
          <w:highlight w:val="none"/>
        </w:rPr>
        <w:fldChar w:fldCharType="separate"/>
      </w:r>
      <w:r>
        <w:rPr>
          <w:rFonts w:hint="eastAsia" w:ascii="仿宋" w:hAnsi="仿宋" w:eastAsia="仿宋" w:cs="仿宋"/>
          <w:b/>
          <w:bCs/>
          <w:kern w:val="44"/>
          <w:sz w:val="28"/>
          <w:szCs w:val="28"/>
          <w:highlight w:val="none"/>
          <w:lang w:val="en-US" w:eastAsia="zh-CN"/>
        </w:rPr>
        <w:t>6 标准结构与主要</w:t>
      </w:r>
      <w:r>
        <w:rPr>
          <w:rFonts w:hint="eastAsia" w:ascii="仿宋" w:hAnsi="仿宋" w:eastAsia="仿宋" w:cs="仿宋"/>
          <w:b/>
          <w:bCs/>
          <w:kern w:val="44"/>
          <w:sz w:val="28"/>
          <w:szCs w:val="28"/>
          <w:highlight w:val="none"/>
        </w:rPr>
        <w:t>技术内容</w:t>
      </w:r>
      <w:r>
        <w:rPr>
          <w:rFonts w:hint="eastAsia" w:ascii="仿宋" w:hAnsi="仿宋" w:eastAsia="仿宋" w:cs="仿宋"/>
          <w:b/>
          <w:bCs/>
          <w:sz w:val="28"/>
          <w:szCs w:val="28"/>
          <w:highlight w:val="none"/>
        </w:rPr>
        <w:tab/>
      </w: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PAGEREF _Toc1974 </w:instrText>
      </w:r>
      <w:r>
        <w:rPr>
          <w:rFonts w:hint="eastAsia" w:ascii="仿宋" w:hAnsi="仿宋" w:eastAsia="仿宋" w:cs="仿宋"/>
          <w:b/>
          <w:bCs/>
          <w:sz w:val="28"/>
          <w:szCs w:val="28"/>
          <w:highlight w:val="none"/>
        </w:rPr>
        <w:fldChar w:fldCharType="separate"/>
      </w:r>
      <w:r>
        <w:rPr>
          <w:rFonts w:hint="eastAsia" w:ascii="仿宋" w:hAnsi="仿宋" w:eastAsia="仿宋" w:cs="仿宋"/>
          <w:b/>
          <w:bCs/>
          <w:sz w:val="28"/>
          <w:szCs w:val="28"/>
          <w:highlight w:val="none"/>
        </w:rPr>
        <w:t>6</w:t>
      </w:r>
      <w:r>
        <w:rPr>
          <w:rFonts w:hint="eastAsia" w:ascii="仿宋" w:hAnsi="仿宋" w:eastAsia="仿宋" w:cs="仿宋"/>
          <w:b/>
          <w:bCs/>
          <w:sz w:val="28"/>
          <w:szCs w:val="28"/>
          <w:highlight w:val="none"/>
        </w:rPr>
        <w:fldChar w:fldCharType="end"/>
      </w:r>
      <w:r>
        <w:rPr>
          <w:rFonts w:hint="eastAsia" w:ascii="仿宋" w:hAnsi="仿宋" w:eastAsia="仿宋" w:cs="仿宋"/>
          <w:b/>
          <w:bCs/>
          <w:sz w:val="28"/>
          <w:szCs w:val="28"/>
          <w:highlight w:val="none"/>
        </w:rPr>
        <w:fldChar w:fldCharType="end"/>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_Toc31113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6.1 范围</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_Toc31113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6</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8"/>
          <w:highlight w:val="none"/>
        </w:rPr>
        <w:fldChar w:fldCharType="end"/>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_Toc12927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6.2 规范引用文件</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_Toc12927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6</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8"/>
          <w:highlight w:val="none"/>
        </w:rPr>
        <w:fldChar w:fldCharType="end"/>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_Toc15932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6.3 术语和定义</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lang w:val="en-US" w:eastAsia="zh-CN"/>
        </w:rPr>
        <w:t>7</w:t>
      </w:r>
      <w:r>
        <w:rPr>
          <w:rFonts w:hint="eastAsia" w:ascii="仿宋" w:hAnsi="仿宋" w:eastAsia="仿宋" w:cs="仿宋"/>
          <w:b w:val="0"/>
          <w:bCs w:val="0"/>
          <w:sz w:val="28"/>
          <w:szCs w:val="28"/>
          <w:highlight w:val="none"/>
        </w:rPr>
        <w:fldChar w:fldCharType="end"/>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_Toc4436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6.4 一般要求</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lang w:val="en-US" w:eastAsia="zh-CN"/>
        </w:rPr>
        <w:t>8</w:t>
      </w:r>
      <w:r>
        <w:rPr>
          <w:rFonts w:hint="eastAsia" w:ascii="仿宋" w:hAnsi="仿宋" w:eastAsia="仿宋" w:cs="仿宋"/>
          <w:b w:val="0"/>
          <w:bCs w:val="0"/>
          <w:sz w:val="28"/>
          <w:szCs w:val="28"/>
          <w:highlight w:val="none"/>
        </w:rPr>
        <w:fldChar w:fldCharType="end"/>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_Toc9876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6.5 工作流程图</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_Toc9876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8</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8"/>
          <w:highlight w:val="none"/>
        </w:rPr>
        <w:fldChar w:fldCharType="end"/>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_Toc9876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6.6 调查方案编写</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_Toc9876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8</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8"/>
          <w:highlight w:val="none"/>
        </w:rPr>
        <w:fldChar w:fldCharType="end"/>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_Toc9876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6.7 矿区地质环境条件调查</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_Toc9876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8</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8"/>
          <w:highlight w:val="none"/>
        </w:rPr>
        <w:fldChar w:fldCharType="end"/>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_Toc9966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6.8 污染源调查与评价</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lang w:val="en-US" w:eastAsia="zh-CN"/>
        </w:rPr>
        <w:t>9</w:t>
      </w:r>
      <w:r>
        <w:rPr>
          <w:rFonts w:hint="eastAsia" w:ascii="仿宋" w:hAnsi="仿宋" w:eastAsia="仿宋" w:cs="仿宋"/>
          <w:b w:val="0"/>
          <w:bCs w:val="0"/>
          <w:sz w:val="28"/>
          <w:szCs w:val="28"/>
          <w:highlight w:val="none"/>
        </w:rPr>
        <w:fldChar w:fldCharType="end"/>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_Toc25215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6.9 环境污染状况调查与评价</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lang w:val="en-US" w:eastAsia="zh-CN"/>
        </w:rPr>
        <w:t>1</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8"/>
          <w:highlight w:val="none"/>
          <w:lang w:val="en-US" w:eastAsia="zh-CN"/>
        </w:rPr>
        <w:t>0</w:t>
      </w:r>
    </w:p>
    <w:p>
      <w:pPr>
        <w:pStyle w:val="28"/>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ind w:left="221" w:firstLine="280" w:firstLineChars="1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HYPERLINK \l _Toc17634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lang w:val="en-US" w:eastAsia="zh-CN"/>
        </w:rPr>
        <w:t>6.10成果编制</w:t>
      </w:r>
      <w:r>
        <w:rPr>
          <w:rFonts w:hint="eastAsia" w:ascii="仿宋" w:hAnsi="仿宋" w:eastAsia="仿宋" w:cs="仿宋"/>
          <w:b w:val="0"/>
          <w:bCs w:val="0"/>
          <w:sz w:val="28"/>
          <w:szCs w:val="28"/>
          <w:highlight w:val="none"/>
        </w:rPr>
        <w:tab/>
      </w:r>
      <w:r>
        <w:rPr>
          <w:rFonts w:hint="eastAsia" w:ascii="仿宋" w:hAnsi="仿宋" w:eastAsia="仿宋" w:cs="仿宋"/>
          <w:b w:val="0"/>
          <w:bCs w:val="0"/>
          <w:sz w:val="28"/>
          <w:szCs w:val="28"/>
          <w:highlight w:val="none"/>
        </w:rPr>
        <w:fldChar w:fldCharType="begin"/>
      </w:r>
      <w:r>
        <w:rPr>
          <w:rFonts w:hint="eastAsia" w:ascii="仿宋" w:hAnsi="仿宋" w:eastAsia="仿宋" w:cs="仿宋"/>
          <w:b w:val="0"/>
          <w:bCs w:val="0"/>
          <w:sz w:val="28"/>
          <w:szCs w:val="28"/>
          <w:highlight w:val="none"/>
        </w:rPr>
        <w:instrText xml:space="preserve"> PAGEREF _Toc17634 </w:instrText>
      </w:r>
      <w:r>
        <w:rPr>
          <w:rFonts w:hint="eastAsia" w:ascii="仿宋" w:hAnsi="仿宋" w:eastAsia="仿宋" w:cs="仿宋"/>
          <w:b w:val="0"/>
          <w:bCs w:val="0"/>
          <w:sz w:val="28"/>
          <w:szCs w:val="28"/>
          <w:highlight w:val="none"/>
        </w:rPr>
        <w:fldChar w:fldCharType="separate"/>
      </w:r>
      <w:r>
        <w:rPr>
          <w:rFonts w:hint="eastAsia" w:ascii="仿宋" w:hAnsi="仿宋" w:eastAsia="仿宋" w:cs="仿宋"/>
          <w:b w:val="0"/>
          <w:bCs w:val="0"/>
          <w:sz w:val="28"/>
          <w:szCs w:val="28"/>
          <w:highlight w:val="none"/>
        </w:rPr>
        <w:t>10</w:t>
      </w:r>
      <w:r>
        <w:rPr>
          <w:rFonts w:hint="eastAsia" w:ascii="仿宋" w:hAnsi="仿宋" w:eastAsia="仿宋" w:cs="仿宋"/>
          <w:b w:val="0"/>
          <w:bCs w:val="0"/>
          <w:sz w:val="28"/>
          <w:szCs w:val="28"/>
          <w:highlight w:val="none"/>
        </w:rPr>
        <w:fldChar w:fldCharType="end"/>
      </w:r>
      <w:r>
        <w:rPr>
          <w:rFonts w:hint="eastAsia" w:ascii="仿宋" w:hAnsi="仿宋" w:eastAsia="仿宋" w:cs="仿宋"/>
          <w:b w:val="0"/>
          <w:bCs w:val="0"/>
          <w:sz w:val="28"/>
          <w:szCs w:val="28"/>
          <w:highlight w:val="none"/>
        </w:rPr>
        <w:fldChar w:fldCharType="end"/>
      </w:r>
    </w:p>
    <w:p>
      <w:pPr>
        <w:pStyle w:val="25"/>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HYPERLINK \l _Toc10276 </w:instrText>
      </w:r>
      <w:r>
        <w:rPr>
          <w:rFonts w:hint="eastAsia" w:ascii="仿宋" w:hAnsi="仿宋" w:eastAsia="仿宋" w:cs="仿宋"/>
          <w:b/>
          <w:bCs/>
          <w:sz w:val="28"/>
          <w:szCs w:val="28"/>
          <w:highlight w:val="none"/>
        </w:rPr>
        <w:fldChar w:fldCharType="separate"/>
      </w:r>
      <w:r>
        <w:rPr>
          <w:rFonts w:hint="eastAsia" w:ascii="仿宋" w:hAnsi="仿宋" w:eastAsia="仿宋" w:cs="仿宋"/>
          <w:b/>
          <w:bCs/>
          <w:kern w:val="44"/>
          <w:sz w:val="28"/>
          <w:szCs w:val="28"/>
          <w:highlight w:val="none"/>
        </w:rPr>
        <w:t xml:space="preserve">7 </w:t>
      </w:r>
      <w:r>
        <w:rPr>
          <w:rFonts w:hint="eastAsia" w:ascii="仿宋" w:hAnsi="仿宋" w:eastAsia="仿宋" w:cs="仿宋"/>
          <w:b/>
          <w:bCs/>
          <w:kern w:val="44"/>
          <w:sz w:val="28"/>
          <w:szCs w:val="28"/>
          <w:highlight w:val="none"/>
          <w:lang w:eastAsia="zh-CN"/>
        </w:rPr>
        <w:t>本文件</w:t>
      </w:r>
      <w:r>
        <w:rPr>
          <w:rFonts w:hint="eastAsia" w:ascii="仿宋" w:hAnsi="仿宋" w:eastAsia="仿宋" w:cs="仿宋"/>
          <w:b/>
          <w:bCs/>
          <w:kern w:val="44"/>
          <w:sz w:val="28"/>
          <w:szCs w:val="28"/>
          <w:highlight w:val="none"/>
        </w:rPr>
        <w:t>与国内相关标准的对比</w:t>
      </w:r>
      <w:r>
        <w:rPr>
          <w:rFonts w:hint="eastAsia" w:ascii="仿宋" w:hAnsi="仿宋" w:eastAsia="仿宋" w:cs="仿宋"/>
          <w:b/>
          <w:bCs/>
          <w:sz w:val="28"/>
          <w:szCs w:val="28"/>
          <w:highlight w:val="none"/>
        </w:rPr>
        <w:tab/>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rPr>
        <w:fldChar w:fldCharType="end"/>
      </w:r>
      <w:r>
        <w:rPr>
          <w:rFonts w:hint="eastAsia" w:ascii="仿宋" w:hAnsi="仿宋" w:eastAsia="仿宋" w:cs="仿宋"/>
          <w:b/>
          <w:bCs/>
          <w:sz w:val="28"/>
          <w:szCs w:val="28"/>
          <w:highlight w:val="none"/>
          <w:lang w:val="en-US" w:eastAsia="zh-CN"/>
        </w:rPr>
        <w:t>1</w:t>
      </w:r>
    </w:p>
    <w:p>
      <w:pPr>
        <w:pStyle w:val="25"/>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HYPERLINK \l _Toc15081 </w:instrText>
      </w:r>
      <w:r>
        <w:rPr>
          <w:rFonts w:hint="eastAsia" w:ascii="仿宋" w:hAnsi="仿宋" w:eastAsia="仿宋" w:cs="仿宋"/>
          <w:b/>
          <w:bCs/>
          <w:sz w:val="28"/>
          <w:szCs w:val="28"/>
          <w:highlight w:val="none"/>
        </w:rPr>
        <w:fldChar w:fldCharType="separate"/>
      </w:r>
      <w:r>
        <w:rPr>
          <w:rFonts w:hint="eastAsia" w:ascii="仿宋" w:hAnsi="仿宋" w:eastAsia="仿宋" w:cs="仿宋"/>
          <w:b/>
          <w:bCs/>
          <w:kern w:val="44"/>
          <w:sz w:val="28"/>
          <w:szCs w:val="28"/>
          <w:highlight w:val="none"/>
        </w:rPr>
        <w:t>8 知识产权说明</w:t>
      </w:r>
      <w:r>
        <w:rPr>
          <w:rFonts w:hint="eastAsia" w:ascii="仿宋" w:hAnsi="仿宋" w:eastAsia="仿宋" w:cs="仿宋"/>
          <w:b/>
          <w:bCs/>
          <w:sz w:val="28"/>
          <w:szCs w:val="28"/>
          <w:highlight w:val="none"/>
        </w:rPr>
        <w:tab/>
      </w: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PAGEREF _Toc15081 </w:instrText>
      </w:r>
      <w:r>
        <w:rPr>
          <w:rFonts w:hint="eastAsia" w:ascii="仿宋" w:hAnsi="仿宋" w:eastAsia="仿宋" w:cs="仿宋"/>
          <w:b/>
          <w:bCs/>
          <w:sz w:val="28"/>
          <w:szCs w:val="28"/>
          <w:highlight w:val="none"/>
        </w:rPr>
        <w:fldChar w:fldCharType="separate"/>
      </w:r>
      <w:r>
        <w:rPr>
          <w:rFonts w:hint="eastAsia" w:ascii="仿宋" w:hAnsi="仿宋" w:eastAsia="仿宋" w:cs="仿宋"/>
          <w:b/>
          <w:bCs/>
          <w:sz w:val="28"/>
          <w:szCs w:val="28"/>
          <w:highlight w:val="none"/>
        </w:rPr>
        <w:t>12</w:t>
      </w:r>
      <w:r>
        <w:rPr>
          <w:rFonts w:hint="eastAsia" w:ascii="仿宋" w:hAnsi="仿宋" w:eastAsia="仿宋" w:cs="仿宋"/>
          <w:b/>
          <w:bCs/>
          <w:sz w:val="28"/>
          <w:szCs w:val="28"/>
          <w:highlight w:val="none"/>
        </w:rPr>
        <w:fldChar w:fldCharType="end"/>
      </w:r>
      <w:r>
        <w:rPr>
          <w:rFonts w:hint="eastAsia" w:ascii="仿宋" w:hAnsi="仿宋" w:eastAsia="仿宋" w:cs="仿宋"/>
          <w:b/>
          <w:bCs/>
          <w:sz w:val="28"/>
          <w:szCs w:val="28"/>
          <w:highlight w:val="none"/>
        </w:rPr>
        <w:fldChar w:fldCharType="end"/>
      </w:r>
    </w:p>
    <w:p>
      <w:pPr>
        <w:pStyle w:val="25"/>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HYPERLINK \l _Toc5225 </w:instrText>
      </w:r>
      <w:r>
        <w:rPr>
          <w:rFonts w:hint="eastAsia" w:ascii="仿宋" w:hAnsi="仿宋" w:eastAsia="仿宋" w:cs="仿宋"/>
          <w:b/>
          <w:bCs/>
          <w:sz w:val="28"/>
          <w:szCs w:val="28"/>
          <w:highlight w:val="none"/>
        </w:rPr>
        <w:fldChar w:fldCharType="separate"/>
      </w:r>
      <w:r>
        <w:rPr>
          <w:rFonts w:hint="eastAsia" w:ascii="仿宋" w:hAnsi="仿宋" w:eastAsia="仿宋" w:cs="仿宋"/>
          <w:b/>
          <w:bCs/>
          <w:kern w:val="44"/>
          <w:sz w:val="28"/>
          <w:szCs w:val="28"/>
          <w:highlight w:val="none"/>
        </w:rPr>
        <w:t>9 重大意见分歧的处理</w:t>
      </w:r>
      <w:r>
        <w:rPr>
          <w:rFonts w:hint="eastAsia" w:ascii="仿宋" w:hAnsi="仿宋" w:eastAsia="仿宋" w:cs="仿宋"/>
          <w:b/>
          <w:bCs/>
          <w:sz w:val="28"/>
          <w:szCs w:val="28"/>
          <w:highlight w:val="none"/>
        </w:rPr>
        <w:tab/>
      </w: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PAGEREF _Toc5225 </w:instrText>
      </w:r>
      <w:r>
        <w:rPr>
          <w:rFonts w:hint="eastAsia" w:ascii="仿宋" w:hAnsi="仿宋" w:eastAsia="仿宋" w:cs="仿宋"/>
          <w:b/>
          <w:bCs/>
          <w:sz w:val="28"/>
          <w:szCs w:val="28"/>
          <w:highlight w:val="none"/>
        </w:rPr>
        <w:fldChar w:fldCharType="separate"/>
      </w:r>
      <w:r>
        <w:rPr>
          <w:rFonts w:hint="eastAsia" w:ascii="仿宋" w:hAnsi="仿宋" w:eastAsia="仿宋" w:cs="仿宋"/>
          <w:b/>
          <w:bCs/>
          <w:sz w:val="28"/>
          <w:szCs w:val="28"/>
          <w:highlight w:val="none"/>
        </w:rPr>
        <w:t>12</w:t>
      </w:r>
      <w:r>
        <w:rPr>
          <w:rFonts w:hint="eastAsia" w:ascii="仿宋" w:hAnsi="仿宋" w:eastAsia="仿宋" w:cs="仿宋"/>
          <w:b/>
          <w:bCs/>
          <w:sz w:val="28"/>
          <w:szCs w:val="28"/>
          <w:highlight w:val="none"/>
        </w:rPr>
        <w:fldChar w:fldCharType="end"/>
      </w:r>
      <w:r>
        <w:rPr>
          <w:rFonts w:hint="eastAsia" w:ascii="仿宋" w:hAnsi="仿宋" w:eastAsia="仿宋" w:cs="仿宋"/>
          <w:b/>
          <w:bCs/>
          <w:sz w:val="28"/>
          <w:szCs w:val="28"/>
          <w:highlight w:val="none"/>
        </w:rPr>
        <w:fldChar w:fldCharType="end"/>
      </w:r>
    </w:p>
    <w:p>
      <w:pPr>
        <w:pStyle w:val="25"/>
        <w:keepNext w:val="0"/>
        <w:keepLines w:val="0"/>
        <w:pageBreakBefore w:val="0"/>
        <w:widowControl/>
        <w:tabs>
          <w:tab w:val="right" w:leader="dot" w:pos="8312"/>
        </w:tabs>
        <w:kinsoku/>
        <w:wordWrap/>
        <w:overflowPunct/>
        <w:topLinePunct w:val="0"/>
        <w:autoSpaceDE/>
        <w:autoSpaceDN/>
        <w:bidi w:val="0"/>
        <w:adjustRightInd/>
        <w:snapToGrid/>
        <w:spacing w:after="0" w:line="50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HYPERLINK \l _Toc15405 </w:instrText>
      </w:r>
      <w:r>
        <w:rPr>
          <w:rFonts w:hint="eastAsia" w:ascii="仿宋" w:hAnsi="仿宋" w:eastAsia="仿宋" w:cs="仿宋"/>
          <w:b/>
          <w:bCs/>
          <w:sz w:val="28"/>
          <w:szCs w:val="28"/>
          <w:highlight w:val="none"/>
        </w:rPr>
        <w:fldChar w:fldCharType="separate"/>
      </w:r>
      <w:r>
        <w:rPr>
          <w:rFonts w:hint="eastAsia" w:ascii="仿宋" w:hAnsi="仿宋" w:eastAsia="仿宋" w:cs="仿宋"/>
          <w:b/>
          <w:bCs/>
          <w:kern w:val="44"/>
          <w:sz w:val="28"/>
          <w:szCs w:val="28"/>
          <w:highlight w:val="none"/>
        </w:rPr>
        <w:t>10 其他应说明的事项</w:t>
      </w:r>
      <w:r>
        <w:rPr>
          <w:rFonts w:hint="eastAsia" w:ascii="仿宋" w:hAnsi="仿宋" w:eastAsia="仿宋" w:cs="仿宋"/>
          <w:b/>
          <w:bCs/>
          <w:sz w:val="28"/>
          <w:szCs w:val="28"/>
          <w:highlight w:val="none"/>
        </w:rPr>
        <w:tab/>
      </w:r>
      <w:r>
        <w:rPr>
          <w:rFonts w:hint="eastAsia" w:ascii="仿宋" w:hAnsi="仿宋" w:eastAsia="仿宋" w:cs="仿宋"/>
          <w:b/>
          <w:bCs/>
          <w:sz w:val="28"/>
          <w:szCs w:val="28"/>
          <w:highlight w:val="none"/>
        </w:rPr>
        <w:fldChar w:fldCharType="begin"/>
      </w:r>
      <w:r>
        <w:rPr>
          <w:rFonts w:hint="eastAsia" w:ascii="仿宋" w:hAnsi="仿宋" w:eastAsia="仿宋" w:cs="仿宋"/>
          <w:b/>
          <w:bCs/>
          <w:sz w:val="28"/>
          <w:szCs w:val="28"/>
          <w:highlight w:val="none"/>
        </w:rPr>
        <w:instrText xml:space="preserve"> PAGEREF _Toc15405 </w:instrText>
      </w:r>
      <w:r>
        <w:rPr>
          <w:rFonts w:hint="eastAsia" w:ascii="仿宋" w:hAnsi="仿宋" w:eastAsia="仿宋" w:cs="仿宋"/>
          <w:b/>
          <w:bCs/>
          <w:sz w:val="28"/>
          <w:szCs w:val="28"/>
          <w:highlight w:val="none"/>
        </w:rPr>
        <w:fldChar w:fldCharType="separate"/>
      </w:r>
      <w:r>
        <w:rPr>
          <w:rFonts w:hint="eastAsia" w:ascii="仿宋" w:hAnsi="仿宋" w:eastAsia="仿宋" w:cs="仿宋"/>
          <w:b/>
          <w:bCs/>
          <w:sz w:val="28"/>
          <w:szCs w:val="28"/>
          <w:highlight w:val="none"/>
        </w:rPr>
        <w:t>12</w:t>
      </w:r>
      <w:r>
        <w:rPr>
          <w:rFonts w:hint="eastAsia" w:ascii="仿宋" w:hAnsi="仿宋" w:eastAsia="仿宋" w:cs="仿宋"/>
          <w:b/>
          <w:bCs/>
          <w:sz w:val="28"/>
          <w:szCs w:val="28"/>
          <w:highlight w:val="none"/>
        </w:rPr>
        <w:fldChar w:fldCharType="end"/>
      </w:r>
      <w:r>
        <w:rPr>
          <w:rFonts w:hint="eastAsia" w:ascii="仿宋" w:hAnsi="仿宋" w:eastAsia="仿宋" w:cs="仿宋"/>
          <w:b/>
          <w:bCs/>
          <w:sz w:val="28"/>
          <w:szCs w:val="28"/>
          <w:highlight w:val="none"/>
        </w:rPr>
        <w:fldChar w:fldCharType="end"/>
      </w:r>
    </w:p>
    <w:p>
      <w:pPr>
        <w:pStyle w:val="3"/>
        <w:spacing w:before="78" w:beforeLines="25" w:after="78" w:afterLines="25" w:line="360" w:lineRule="auto"/>
        <w:jc w:val="center"/>
        <w:rPr>
          <w:rFonts w:ascii="宋体" w:hAnsi="宋体"/>
          <w:szCs w:val="21"/>
        </w:rPr>
        <w:sectPr>
          <w:footerReference r:id="rId6" w:type="first"/>
          <w:footerReference r:id="rId5" w:type="default"/>
          <w:pgSz w:w="11906" w:h="16838"/>
          <w:pgMar w:top="1440" w:right="1797" w:bottom="1440" w:left="1797" w:header="851" w:footer="992" w:gutter="0"/>
          <w:pgNumType w:fmt="upperRoman" w:start="1"/>
          <w:cols w:space="720" w:num="1"/>
          <w:docGrid w:type="lines" w:linePitch="312" w:charSpace="0"/>
        </w:sectPr>
      </w:pPr>
      <w:r>
        <w:rPr>
          <w:rFonts w:ascii="宋体" w:hAnsi="宋体"/>
          <w:szCs w:val="21"/>
          <w:highlight w:val="none"/>
        </w:rPr>
        <w:fldChar w:fldCharType="end"/>
      </w:r>
    </w:p>
    <w:p>
      <w:pPr>
        <w:sectPr>
          <w:pgSz w:w="11906" w:h="16838"/>
          <w:pgMar w:top="1440" w:right="1797" w:bottom="1440" w:left="1797" w:header="851" w:footer="992" w:gutter="0"/>
          <w:pgNumType w:fmt="upperRoman" w:start="1"/>
          <w:cols w:space="720" w:num="1"/>
          <w:docGrid w:type="lines" w:linePitch="312" w:charSpace="0"/>
        </w:sectPr>
      </w:pPr>
    </w:p>
    <w:p>
      <w:pPr>
        <w:keepNext/>
        <w:keepLines/>
        <w:pageBreakBefore w:val="0"/>
        <w:widowControl w:val="0"/>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kern w:val="44"/>
          <w:sz w:val="32"/>
          <w:szCs w:val="32"/>
        </w:rPr>
      </w:pPr>
      <w:bookmarkStart w:id="6" w:name="_Toc41637472"/>
      <w:bookmarkStart w:id="7" w:name="_Toc11100"/>
      <w:r>
        <w:rPr>
          <w:rFonts w:hint="eastAsia" w:ascii="黑体" w:hAnsi="黑体" w:eastAsia="黑体" w:cs="黑体"/>
          <w:b/>
          <w:bCs/>
          <w:kern w:val="44"/>
          <w:sz w:val="32"/>
          <w:szCs w:val="32"/>
        </w:rPr>
        <w:t>1</w:t>
      </w:r>
      <w:bookmarkEnd w:id="6"/>
      <w:r>
        <w:rPr>
          <w:rFonts w:hint="eastAsia" w:ascii="黑体" w:hAnsi="黑体" w:eastAsia="黑体" w:cs="黑体"/>
          <w:b/>
          <w:bCs/>
          <w:kern w:val="44"/>
          <w:sz w:val="32"/>
          <w:szCs w:val="32"/>
        </w:rPr>
        <w:t xml:space="preserve"> 任务来源</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月，陕西省环境科学研究院向陕西省生态环境保护标准化技术委员会上报了《</w:t>
      </w:r>
      <w:r>
        <w:rPr>
          <w:rFonts w:hint="eastAsia" w:ascii="仿宋" w:hAnsi="仿宋" w:eastAsia="仿宋" w:cs="仿宋"/>
          <w:sz w:val="32"/>
          <w:szCs w:val="32"/>
          <w:lang w:eastAsia="zh-CN"/>
        </w:rPr>
        <w:t>涉重金属矿山环境污染调查评价指南</w:t>
      </w:r>
      <w:r>
        <w:rPr>
          <w:rFonts w:hint="eastAsia" w:ascii="仿宋" w:hAnsi="仿宋" w:eastAsia="仿宋" w:cs="仿宋"/>
          <w:sz w:val="32"/>
          <w:szCs w:val="32"/>
        </w:rPr>
        <w:t>》制定申请，提交了立项申请书</w:t>
      </w:r>
      <w:r>
        <w:rPr>
          <w:rFonts w:hint="eastAsia" w:ascii="仿宋" w:hAnsi="仿宋" w:eastAsia="仿宋" w:cs="仿宋"/>
          <w:sz w:val="32"/>
          <w:szCs w:val="32"/>
          <w:lang w:eastAsia="zh-CN"/>
        </w:rPr>
        <w:t>、</w:t>
      </w:r>
      <w:r>
        <w:rPr>
          <w:rFonts w:hint="eastAsia" w:ascii="仿宋" w:hAnsi="仿宋" w:eastAsia="仿宋" w:cs="仿宋"/>
          <w:sz w:val="32"/>
          <w:szCs w:val="32"/>
        </w:rPr>
        <w:t>指南草案文件</w:t>
      </w:r>
      <w:r>
        <w:rPr>
          <w:rFonts w:hint="eastAsia" w:ascii="仿宋" w:hAnsi="仿宋" w:eastAsia="仿宋" w:cs="仿宋"/>
          <w:sz w:val="32"/>
          <w:szCs w:val="32"/>
          <w:lang w:val="en-US" w:eastAsia="zh-CN"/>
        </w:rPr>
        <w:t>及实施方案</w:t>
      </w:r>
      <w:r>
        <w:rPr>
          <w:rFonts w:hint="eastAsia" w:ascii="仿宋" w:hAnsi="仿宋" w:eastAsia="仿宋" w:cs="仿宋"/>
          <w:sz w:val="32"/>
          <w:szCs w:val="32"/>
        </w:rPr>
        <w:t>。</w:t>
      </w: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年4月，</w:t>
      </w:r>
      <w:r>
        <w:rPr>
          <w:rFonts w:hint="eastAsia" w:ascii="仿宋" w:hAnsi="仿宋" w:eastAsia="仿宋" w:cs="仿宋"/>
          <w:sz w:val="32"/>
          <w:szCs w:val="32"/>
        </w:rPr>
        <w:t>陕西省市场监督管理局组织专家对申报材料进行了评审</w:t>
      </w:r>
      <w:r>
        <w:rPr>
          <w:rFonts w:hint="eastAsia" w:ascii="仿宋" w:hAnsi="仿宋" w:eastAsia="仿宋" w:cs="仿宋"/>
          <w:sz w:val="32"/>
          <w:szCs w:val="32"/>
          <w:lang w:eastAsia="zh-CN"/>
        </w:rPr>
        <w:t>，</w:t>
      </w:r>
      <w:r>
        <w:rPr>
          <w:rFonts w:hint="eastAsia" w:ascii="仿宋" w:hAnsi="仿宋" w:eastAsia="仿宋" w:cs="仿宋"/>
          <w:sz w:val="32"/>
          <w:szCs w:val="32"/>
        </w:rPr>
        <w:t>专家组一致同意通过立项申</w:t>
      </w:r>
      <w:r>
        <w:rPr>
          <w:rFonts w:hint="eastAsia" w:ascii="仿宋" w:hAnsi="仿宋" w:eastAsia="仿宋" w:cs="仿宋"/>
          <w:sz w:val="32"/>
          <w:szCs w:val="32"/>
          <w:highlight w:val="none"/>
        </w:rPr>
        <w:t>请</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2024年5月，陕西省市场监督管理局下达“2024年第一批地方标准制修订计划（陕市监函〔2024〕276号）”，正式确定了</w:t>
      </w:r>
      <w:r>
        <w:rPr>
          <w:rFonts w:hint="eastAsia" w:ascii="仿宋" w:hAnsi="仿宋" w:eastAsia="仿宋" w:cs="仿宋"/>
          <w:sz w:val="32"/>
          <w:szCs w:val="32"/>
          <w:highlight w:val="none"/>
          <w:lang w:val="en-US" w:eastAsia="zh-CN"/>
        </w:rPr>
        <w:t>本文件</w:t>
      </w:r>
      <w:r>
        <w:rPr>
          <w:rFonts w:hint="eastAsia" w:ascii="仿宋" w:hAnsi="仿宋" w:eastAsia="仿宋" w:cs="仿宋"/>
          <w:sz w:val="32"/>
          <w:szCs w:val="32"/>
          <w:highlight w:val="none"/>
        </w:rPr>
        <w:t>编制任务（计划编号SDBXM 00</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-2024）。本标准为首次制定，为推荐性标准。</w:t>
      </w:r>
    </w:p>
    <w:p>
      <w:pPr>
        <w:keepNext/>
        <w:keepLines/>
        <w:pageBreakBefore w:val="0"/>
        <w:widowControl w:val="0"/>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kern w:val="44"/>
          <w:sz w:val="32"/>
          <w:szCs w:val="32"/>
        </w:rPr>
      </w:pPr>
      <w:bookmarkStart w:id="8" w:name="_Toc6577"/>
      <w:r>
        <w:rPr>
          <w:rFonts w:hint="eastAsia" w:ascii="黑体" w:hAnsi="黑体" w:eastAsia="黑体" w:cs="黑体"/>
          <w:b/>
          <w:bCs/>
          <w:kern w:val="44"/>
          <w:sz w:val="32"/>
          <w:szCs w:val="32"/>
        </w:rPr>
        <w:t>2 编制目的及意义</w:t>
      </w:r>
      <w:bookmarkEnd w:id="8"/>
    </w:p>
    <w:p>
      <w:pPr>
        <w:pStyle w:val="4"/>
        <w:pageBreakBefore w:val="0"/>
        <w:widowControl w:val="0"/>
        <w:kinsoku/>
        <w:wordWrap/>
        <w:overflowPunct/>
        <w:topLinePunct w:val="0"/>
        <w:autoSpaceDE/>
        <w:autoSpaceDN/>
        <w:bidi w:val="0"/>
        <w:adjustRightInd/>
        <w:snapToGrid/>
        <w:spacing w:line="560" w:lineRule="exact"/>
        <w:textAlignment w:val="auto"/>
        <w:rPr>
          <w:rFonts w:hint="eastAsia" w:ascii="楷体" w:hAnsi="楷体" w:eastAsia="楷体" w:cs="楷体"/>
          <w:sz w:val="32"/>
          <w:szCs w:val="32"/>
          <w:lang w:val="en-US" w:eastAsia="zh-CN"/>
        </w:rPr>
      </w:pPr>
      <w:bookmarkStart w:id="9" w:name="_Toc4999"/>
      <w:r>
        <w:rPr>
          <w:rFonts w:hint="eastAsia" w:ascii="楷体" w:hAnsi="楷体" w:eastAsia="楷体" w:cs="楷体"/>
          <w:sz w:val="32"/>
          <w:szCs w:val="32"/>
          <w:lang w:val="en-US" w:eastAsia="zh-CN"/>
        </w:rPr>
        <w:t>2.1编制目的</w:t>
      </w:r>
      <w:bookmarkEnd w:id="9"/>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开展涉金属矿产开发环境污染调查评价工作，是各地实施涉金属历史遗留矿区污染防治与生态修复、完成相关资金申请、开展工程项目可行性研究、初步设计文件编制与审批中的重要支撑工作。本文件的主要目的是在掌握矿区地质环境条件的基础上，查明矿山主要涉金属矿产开发环境污染源的类型、分布、规模及其对矿区地表水、土壤及地下水等环境的影响程度和范围，为矿山环境污染防治提供依据。</w:t>
      </w:r>
    </w:p>
    <w:p>
      <w:pPr>
        <w:pStyle w:val="4"/>
        <w:pageBreakBefore w:val="0"/>
        <w:widowControl w:val="0"/>
        <w:kinsoku/>
        <w:wordWrap/>
        <w:overflowPunct/>
        <w:topLinePunct w:val="0"/>
        <w:autoSpaceDE/>
        <w:autoSpaceDN/>
        <w:bidi w:val="0"/>
        <w:adjustRightInd/>
        <w:snapToGrid/>
        <w:spacing w:line="560" w:lineRule="exact"/>
        <w:textAlignment w:val="auto"/>
        <w:rPr>
          <w:rFonts w:hint="default" w:ascii="楷体" w:hAnsi="楷体" w:eastAsia="楷体" w:cs="楷体"/>
          <w:sz w:val="32"/>
          <w:szCs w:val="32"/>
          <w:lang w:val="en-US" w:eastAsia="zh-CN"/>
        </w:rPr>
      </w:pPr>
      <w:bookmarkStart w:id="10" w:name="_Toc28213"/>
      <w:r>
        <w:rPr>
          <w:rFonts w:hint="eastAsia" w:ascii="楷体" w:hAnsi="楷体" w:eastAsia="楷体" w:cs="楷体"/>
          <w:sz w:val="32"/>
          <w:szCs w:val="32"/>
          <w:lang w:val="en-US" w:eastAsia="zh-CN"/>
        </w:rPr>
        <w:t>2.2 编制意义</w:t>
      </w:r>
      <w:bookmarkEnd w:id="10"/>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rPr>
        <w:t>是规范并提高我国矿区污染防治技术水平的现实需要。根据</w:t>
      </w:r>
      <w:r>
        <w:rPr>
          <w:rFonts w:hint="eastAsia" w:ascii="仿宋" w:hAnsi="仿宋" w:eastAsia="仿宋" w:cs="仿宋"/>
          <w:color w:val="auto"/>
          <w:sz w:val="32"/>
          <w:szCs w:val="32"/>
          <w:lang w:eastAsia="zh-CN"/>
        </w:rPr>
        <w:t>起草组</w:t>
      </w:r>
      <w:r>
        <w:rPr>
          <w:rFonts w:hint="eastAsia" w:ascii="仿宋" w:hAnsi="仿宋" w:eastAsia="仿宋" w:cs="仿宋"/>
          <w:color w:val="auto"/>
          <w:sz w:val="32"/>
          <w:szCs w:val="32"/>
        </w:rPr>
        <w:t>的调研和资料分析发现，当前我国针对</w:t>
      </w:r>
      <w:r>
        <w:rPr>
          <w:rFonts w:hint="eastAsia" w:ascii="仿宋" w:hAnsi="仿宋" w:eastAsia="仿宋" w:cs="仿宋"/>
          <w:color w:val="auto"/>
          <w:sz w:val="32"/>
          <w:szCs w:val="32"/>
          <w:lang w:eastAsia="zh-CN"/>
        </w:rPr>
        <w:t>涉金属矿产开发</w:t>
      </w:r>
      <w:r>
        <w:rPr>
          <w:rFonts w:hint="eastAsia" w:ascii="仿宋" w:hAnsi="仿宋" w:eastAsia="仿宋" w:cs="仿宋"/>
          <w:color w:val="auto"/>
          <w:sz w:val="32"/>
          <w:szCs w:val="32"/>
          <w:lang w:val="en-US" w:eastAsia="zh-CN"/>
        </w:rPr>
        <w:t>环境污染调查评估</w:t>
      </w:r>
      <w:r>
        <w:rPr>
          <w:rFonts w:hint="eastAsia" w:ascii="仿宋" w:hAnsi="仿宋" w:eastAsia="仿宋" w:cs="仿宋"/>
          <w:color w:val="auto"/>
          <w:sz w:val="32"/>
          <w:szCs w:val="32"/>
        </w:rPr>
        <w:t>指南性文件尚属于空白。由于缺乏统一有效的规范性文件，不同单位、不同人员对于矿山重金属污染调查工作理解不同，导致调查评价内容不统一、</w:t>
      </w:r>
      <w:r>
        <w:rPr>
          <w:rFonts w:hint="eastAsia" w:ascii="仿宋" w:hAnsi="仿宋" w:eastAsia="仿宋" w:cs="仿宋"/>
          <w:color w:val="auto"/>
          <w:sz w:val="32"/>
          <w:szCs w:val="32"/>
          <w:lang w:val="en-US" w:eastAsia="zh-CN"/>
        </w:rPr>
        <w:t>调查</w:t>
      </w:r>
      <w:r>
        <w:rPr>
          <w:rFonts w:hint="eastAsia" w:ascii="仿宋" w:hAnsi="仿宋" w:eastAsia="仿宋" w:cs="仿宋"/>
          <w:color w:val="auto"/>
          <w:sz w:val="32"/>
          <w:szCs w:val="32"/>
        </w:rPr>
        <w:t>深度不一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评价标准不统一等等</w:t>
      </w:r>
      <w:r>
        <w:rPr>
          <w:rFonts w:hint="eastAsia" w:ascii="仿宋" w:hAnsi="仿宋" w:eastAsia="仿宋" w:cs="仿宋"/>
          <w:color w:val="auto"/>
          <w:sz w:val="32"/>
          <w:szCs w:val="32"/>
        </w:rPr>
        <w:t>，造成现实工作中无论是</w:t>
      </w:r>
      <w:r>
        <w:rPr>
          <w:rFonts w:hint="eastAsia" w:ascii="仿宋" w:hAnsi="仿宋" w:eastAsia="仿宋" w:cs="仿宋"/>
          <w:color w:val="auto"/>
          <w:sz w:val="32"/>
          <w:szCs w:val="32"/>
          <w:lang w:val="en-US" w:eastAsia="zh-CN"/>
        </w:rPr>
        <w:t>对后期治理</w:t>
      </w:r>
      <w:r>
        <w:rPr>
          <w:rFonts w:hint="eastAsia" w:ascii="仿宋" w:hAnsi="仿宋" w:eastAsia="仿宋" w:cs="仿宋"/>
          <w:color w:val="auto"/>
          <w:sz w:val="32"/>
          <w:szCs w:val="32"/>
        </w:rPr>
        <w:t>方案的</w:t>
      </w:r>
      <w:r>
        <w:rPr>
          <w:rFonts w:hint="eastAsia" w:ascii="仿宋" w:hAnsi="仿宋" w:eastAsia="仿宋" w:cs="仿宋"/>
          <w:color w:val="auto"/>
          <w:sz w:val="32"/>
          <w:szCs w:val="32"/>
          <w:lang w:val="en-US" w:eastAsia="zh-CN"/>
        </w:rPr>
        <w:t>支撑</w:t>
      </w:r>
      <w:r>
        <w:rPr>
          <w:rFonts w:hint="eastAsia" w:ascii="仿宋" w:hAnsi="仿宋" w:eastAsia="仿宋" w:cs="仿宋"/>
          <w:color w:val="auto"/>
          <w:sz w:val="32"/>
          <w:szCs w:val="32"/>
        </w:rPr>
        <w:t>，还是管理部门开展的</w:t>
      </w:r>
      <w:r>
        <w:rPr>
          <w:rFonts w:hint="eastAsia" w:ascii="仿宋" w:hAnsi="仿宋" w:eastAsia="仿宋" w:cs="仿宋"/>
          <w:color w:val="auto"/>
          <w:sz w:val="32"/>
          <w:szCs w:val="32"/>
          <w:lang w:val="en-US" w:eastAsia="zh-CN"/>
        </w:rPr>
        <w:t>立项申报</w:t>
      </w:r>
      <w:r>
        <w:rPr>
          <w:rFonts w:hint="eastAsia" w:ascii="仿宋" w:hAnsi="仿宋" w:eastAsia="仿宋" w:cs="仿宋"/>
          <w:color w:val="auto"/>
          <w:sz w:val="32"/>
          <w:szCs w:val="32"/>
        </w:rPr>
        <w:t>、审批等环节中诸多问题和矛盾</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给政府管理、企业污染治理造成困难。涉</w:t>
      </w:r>
      <w:r>
        <w:rPr>
          <w:rFonts w:hint="eastAsia" w:ascii="仿宋" w:hAnsi="仿宋" w:eastAsia="仿宋" w:cs="仿宋"/>
          <w:color w:val="auto"/>
          <w:sz w:val="32"/>
          <w:szCs w:val="32"/>
          <w:lang w:val="en-US" w:eastAsia="zh-CN"/>
        </w:rPr>
        <w:t>重</w:t>
      </w:r>
      <w:r>
        <w:rPr>
          <w:rFonts w:hint="eastAsia" w:ascii="仿宋" w:hAnsi="仿宋" w:eastAsia="仿宋" w:cs="仿宋"/>
          <w:color w:val="auto"/>
          <w:sz w:val="32"/>
          <w:szCs w:val="32"/>
        </w:rPr>
        <w:t>金属矿区面临的生态环境问题的解决必须建立在制定一个科学、合理</w:t>
      </w:r>
      <w:r>
        <w:rPr>
          <w:rFonts w:hint="eastAsia" w:ascii="仿宋" w:hAnsi="仿宋" w:eastAsia="仿宋" w:cs="仿宋"/>
          <w:color w:val="auto"/>
          <w:sz w:val="32"/>
          <w:szCs w:val="32"/>
          <w:lang w:val="en-US" w:eastAsia="zh-CN"/>
        </w:rPr>
        <w:t>的调查评价结果</w:t>
      </w:r>
      <w:r>
        <w:rPr>
          <w:rFonts w:hint="eastAsia" w:ascii="仿宋" w:hAnsi="仿宋" w:eastAsia="仿宋" w:cs="仿宋"/>
          <w:color w:val="auto"/>
          <w:sz w:val="32"/>
          <w:szCs w:val="32"/>
        </w:rPr>
        <w:t>的基础上。因此迫切需要</w:t>
      </w:r>
      <w:r>
        <w:rPr>
          <w:rFonts w:hint="eastAsia" w:ascii="仿宋" w:hAnsi="仿宋" w:eastAsia="仿宋" w:cs="仿宋"/>
          <w:color w:val="auto"/>
          <w:sz w:val="32"/>
          <w:szCs w:val="32"/>
          <w:lang w:val="en-US" w:eastAsia="zh-CN"/>
        </w:rPr>
        <w:t>制定相关标准</w:t>
      </w:r>
      <w:r>
        <w:rPr>
          <w:rFonts w:hint="eastAsia" w:ascii="仿宋" w:hAnsi="仿宋" w:eastAsia="仿宋" w:cs="仿宋"/>
          <w:color w:val="auto"/>
          <w:sz w:val="32"/>
          <w:szCs w:val="32"/>
        </w:rPr>
        <w:t>进一步规范调查评价工作。</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二是进一步规范指导涉金属矿产开发环境污染防治工作的需要。涉金属矿产开发地表水、地下水、土壤重金属污染是一个严重的社会与环境问题，系统调查评价矿山重金属污染现状，可为政府及矿山企业针对性的监管与治理提供科学依据。</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三是提升我省汉丹江流域矿山污染综合治理工作成果的需要。2021年以来，陕西省生态环境厅组织开展的汉丹江流域涉金属矿产开发污染工作积累了众多的矿山重金属污染防治经验，编制</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第2部分：调查评价</w:t>
      </w:r>
      <w:r>
        <w:rPr>
          <w:rFonts w:hint="eastAsia" w:ascii="仿宋" w:hAnsi="仿宋" w:eastAsia="仿宋" w:cs="仿宋"/>
          <w:sz w:val="32"/>
          <w:szCs w:val="32"/>
        </w:rPr>
        <w:t>》</w:t>
      </w:r>
      <w:r>
        <w:rPr>
          <w:rFonts w:hint="eastAsia" w:ascii="仿宋" w:hAnsi="仿宋" w:eastAsia="仿宋" w:cs="仿宋"/>
          <w:color w:val="auto"/>
          <w:sz w:val="32"/>
          <w:szCs w:val="32"/>
          <w:lang w:val="en-US" w:eastAsia="zh-CN"/>
        </w:rPr>
        <w:t>是汉丹江流域涉金属矿产开发环境污染防治的重要技术性成果之一。</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四是</w:t>
      </w:r>
      <w:r>
        <w:rPr>
          <w:rFonts w:hint="eastAsia" w:ascii="仿宋" w:hAnsi="仿宋" w:eastAsia="仿宋" w:cs="仿宋"/>
          <w:color w:val="auto"/>
          <w:sz w:val="32"/>
          <w:szCs w:val="32"/>
        </w:rPr>
        <w:t>支撑《陕西省汉江丹江流域涉金属矿产开发生态环境综合整治规划（2021-2030年）》的重要举措。该规划中明确提出编制相关技术规范，编制该</w:t>
      </w:r>
      <w:r>
        <w:rPr>
          <w:rFonts w:hint="eastAsia" w:ascii="仿宋" w:hAnsi="仿宋" w:eastAsia="仿宋" w:cs="仿宋"/>
          <w:color w:val="auto"/>
          <w:sz w:val="32"/>
          <w:szCs w:val="32"/>
          <w:lang w:val="en-US" w:eastAsia="zh-CN"/>
        </w:rPr>
        <w:t>标准将</w:t>
      </w:r>
      <w:r>
        <w:rPr>
          <w:rFonts w:hint="eastAsia" w:ascii="仿宋" w:hAnsi="仿宋" w:eastAsia="仿宋" w:cs="仿宋"/>
          <w:color w:val="auto"/>
          <w:sz w:val="32"/>
          <w:szCs w:val="32"/>
        </w:rPr>
        <w:t>进一步</w:t>
      </w:r>
      <w:r>
        <w:rPr>
          <w:rFonts w:hint="eastAsia" w:ascii="仿宋" w:hAnsi="仿宋" w:eastAsia="仿宋" w:cs="仿宋"/>
          <w:color w:val="auto"/>
          <w:sz w:val="32"/>
          <w:szCs w:val="32"/>
          <w:lang w:val="en-US" w:eastAsia="zh-CN"/>
        </w:rPr>
        <w:t>为</w:t>
      </w:r>
      <w:r>
        <w:rPr>
          <w:rFonts w:hint="eastAsia" w:ascii="仿宋" w:hAnsi="仿宋" w:eastAsia="仿宋" w:cs="仿宋"/>
          <w:color w:val="auto"/>
          <w:sz w:val="32"/>
          <w:szCs w:val="32"/>
        </w:rPr>
        <w:t>规划任务的完成</w:t>
      </w:r>
      <w:r>
        <w:rPr>
          <w:rFonts w:hint="eastAsia" w:ascii="仿宋" w:hAnsi="仿宋" w:eastAsia="仿宋" w:cs="仿宋"/>
          <w:color w:val="auto"/>
          <w:sz w:val="32"/>
          <w:szCs w:val="32"/>
          <w:lang w:val="en-US" w:eastAsia="zh-CN"/>
        </w:rPr>
        <w:t>提供支撑</w:t>
      </w:r>
      <w:r>
        <w:rPr>
          <w:rFonts w:hint="eastAsia" w:ascii="仿宋" w:hAnsi="仿宋" w:eastAsia="仿宋" w:cs="仿宋"/>
          <w:color w:val="auto"/>
          <w:sz w:val="32"/>
          <w:szCs w:val="32"/>
        </w:rPr>
        <w:t>。</w:t>
      </w:r>
    </w:p>
    <w:p>
      <w:pPr>
        <w:keepNext/>
        <w:keepLines/>
        <w:pageBreakBefore w:val="0"/>
        <w:widowControl w:val="0"/>
        <w:kinsoku/>
        <w:wordWrap/>
        <w:overflowPunct/>
        <w:topLinePunct w:val="0"/>
        <w:autoSpaceDE/>
        <w:autoSpaceDN/>
        <w:bidi w:val="0"/>
        <w:adjustRightInd/>
        <w:snapToGrid/>
        <w:spacing w:line="560" w:lineRule="exact"/>
        <w:textAlignment w:val="auto"/>
        <w:outlineLvl w:val="0"/>
        <w:rPr>
          <w:rFonts w:hint="default" w:ascii="黑体" w:hAnsi="黑体" w:eastAsia="黑体" w:cs="黑体"/>
          <w:b/>
          <w:bCs/>
          <w:kern w:val="44"/>
          <w:sz w:val="32"/>
          <w:szCs w:val="32"/>
          <w:lang w:val="en-US" w:eastAsia="zh-CN"/>
        </w:rPr>
      </w:pPr>
      <w:bookmarkStart w:id="11" w:name="_Toc400"/>
      <w:r>
        <w:rPr>
          <w:rFonts w:hint="eastAsia" w:ascii="黑体" w:hAnsi="黑体" w:eastAsia="黑体" w:cs="黑体"/>
          <w:b/>
          <w:bCs/>
          <w:kern w:val="44"/>
          <w:sz w:val="32"/>
          <w:szCs w:val="32"/>
        </w:rPr>
        <w:t>3 承担单位</w:t>
      </w:r>
      <w:bookmarkEnd w:id="11"/>
      <w:r>
        <w:rPr>
          <w:rFonts w:hint="eastAsia" w:ascii="黑体" w:hAnsi="黑体" w:eastAsia="黑体" w:cs="黑体"/>
          <w:b/>
          <w:bCs/>
          <w:kern w:val="44"/>
          <w:sz w:val="32"/>
          <w:szCs w:val="32"/>
          <w:lang w:val="en-US" w:eastAsia="zh-CN"/>
        </w:rPr>
        <w:t>及任务分工</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项目承担单位为陕西省环境科学研究院、生态环境部华南环境科学研究所、生态环境部固体废物与化学品管理技术中心、中国地质调查局西安地质调查中心、陕西省中勘环境地质研究中心有限公司、陕西省水工环地质调查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u w:val="none"/>
        </w:rPr>
      </w:pPr>
      <w:r>
        <w:rPr>
          <w:rFonts w:hint="eastAsia" w:ascii="仿宋" w:hAnsi="仿宋" w:eastAsia="仿宋" w:cs="仿宋"/>
          <w:color w:val="auto"/>
          <w:sz w:val="32"/>
          <w:szCs w:val="32"/>
          <w:highlight w:val="none"/>
        </w:rPr>
        <w:t>任务分</w:t>
      </w:r>
      <w:r>
        <w:rPr>
          <w:rFonts w:hint="eastAsia" w:ascii="仿宋" w:hAnsi="仿宋" w:eastAsia="仿宋" w:cs="仿宋"/>
          <w:color w:val="auto"/>
          <w:sz w:val="32"/>
          <w:szCs w:val="32"/>
          <w:highlight w:val="none"/>
          <w:u w:val="none"/>
        </w:rPr>
        <w:t>工: 陕西省环境科学研究院</w:t>
      </w:r>
      <w:r>
        <w:rPr>
          <w:rFonts w:hint="eastAsia" w:ascii="仿宋" w:hAnsi="仿宋" w:eastAsia="仿宋" w:cs="仿宋"/>
          <w:color w:val="auto"/>
          <w:sz w:val="32"/>
          <w:szCs w:val="32"/>
          <w:u w:val="none"/>
        </w:rPr>
        <w:t>为项目主导单位，负责</w:t>
      </w:r>
      <w:r>
        <w:rPr>
          <w:rFonts w:hint="eastAsia" w:ascii="仿宋" w:hAnsi="仿宋" w:eastAsia="仿宋" w:cs="仿宋"/>
          <w:color w:val="auto"/>
          <w:sz w:val="32"/>
          <w:szCs w:val="32"/>
          <w:u w:val="none"/>
          <w:lang w:val="en-US" w:eastAsia="zh-CN"/>
        </w:rPr>
        <w:t>标准编制统筹安排，其余参编单位</w:t>
      </w:r>
      <w:r>
        <w:rPr>
          <w:rFonts w:hint="eastAsia" w:ascii="仿宋" w:hAnsi="仿宋" w:eastAsia="仿宋" w:cs="仿宋"/>
          <w:color w:val="auto"/>
          <w:sz w:val="32"/>
          <w:szCs w:val="32"/>
          <w:u w:val="none"/>
        </w:rPr>
        <w:t>协作完成</w:t>
      </w:r>
      <w:r>
        <w:rPr>
          <w:rFonts w:hint="eastAsia" w:ascii="仿宋" w:hAnsi="仿宋" w:eastAsia="仿宋" w:cs="仿宋"/>
          <w:color w:val="auto"/>
          <w:sz w:val="32"/>
          <w:szCs w:val="32"/>
          <w:u w:val="none"/>
          <w:lang w:eastAsia="zh-CN"/>
        </w:rPr>
        <w:t>《</w:t>
      </w:r>
      <w:r>
        <w:rPr>
          <w:rFonts w:hint="eastAsia" w:ascii="仿宋" w:hAnsi="仿宋" w:eastAsia="仿宋" w:cs="仿宋"/>
          <w:color w:val="auto"/>
          <w:sz w:val="32"/>
          <w:szCs w:val="32"/>
          <w:u w:val="none"/>
          <w:lang w:val="en-US" w:eastAsia="zh-CN"/>
        </w:rPr>
        <w:t>第2部分 调查评价</w:t>
      </w:r>
      <w:r>
        <w:rPr>
          <w:rFonts w:hint="eastAsia" w:ascii="仿宋" w:hAnsi="仿宋" w:eastAsia="仿宋" w:cs="仿宋"/>
          <w:color w:val="auto"/>
          <w:sz w:val="32"/>
          <w:szCs w:val="32"/>
          <w:u w:val="none"/>
          <w:lang w:eastAsia="zh-CN"/>
        </w:rPr>
        <w:t>》</w:t>
      </w:r>
      <w:r>
        <w:rPr>
          <w:rFonts w:hint="eastAsia" w:ascii="仿宋" w:hAnsi="仿宋" w:eastAsia="仿宋" w:cs="仿宋"/>
          <w:color w:val="auto"/>
          <w:sz w:val="32"/>
          <w:szCs w:val="32"/>
          <w:u w:val="none"/>
          <w:lang w:val="en-US" w:eastAsia="zh-CN"/>
        </w:rPr>
        <w:t>编制</w:t>
      </w:r>
      <w:r>
        <w:rPr>
          <w:rFonts w:hint="eastAsia" w:ascii="仿宋" w:hAnsi="仿宋" w:eastAsia="仿宋" w:cs="仿宋"/>
          <w:color w:val="auto"/>
          <w:sz w:val="32"/>
          <w:szCs w:val="32"/>
          <w:u w:val="none"/>
        </w:rPr>
        <w:t>。</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2"/>
          <w:sz w:val="32"/>
          <w:szCs w:val="32"/>
          <w:u w:val="none"/>
          <w:lang w:val="en-US" w:eastAsia="zh-CN" w:bidi="ar-SA"/>
        </w:rPr>
      </w:pPr>
      <w:r>
        <w:rPr>
          <w:rFonts w:hint="eastAsia" w:ascii="仿宋" w:hAnsi="仿宋" w:eastAsia="仿宋" w:cs="仿宋"/>
          <w:color w:val="auto"/>
          <w:kern w:val="2"/>
          <w:sz w:val="32"/>
          <w:szCs w:val="32"/>
          <w:u w:val="none"/>
          <w:lang w:val="en-US" w:eastAsia="zh-CN" w:bidi="ar-SA"/>
        </w:rPr>
        <w:t>本文件主要起草人：陈华清、柴瑜、陈岩贽、吴金文、王玉晶、陶诗阳、孙长顺、徐友宁、张怡冰、彭渊哲、张培栋、王炜、杨承华、胡恩、吴宇鑫、牛瑞博、郭嘉伟、郝宇勋、赵瑞锋、王丽香、胡龙刚、管隆垚。</w:t>
      </w:r>
    </w:p>
    <w:p>
      <w:pPr>
        <w:keepNext/>
        <w:keepLines/>
        <w:pageBreakBefore w:val="0"/>
        <w:widowControl w:val="0"/>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kern w:val="44"/>
          <w:sz w:val="32"/>
          <w:szCs w:val="32"/>
        </w:rPr>
      </w:pPr>
      <w:bookmarkStart w:id="12" w:name="_Toc10623"/>
      <w:r>
        <w:rPr>
          <w:rFonts w:hint="eastAsia" w:ascii="黑体" w:hAnsi="黑体" w:eastAsia="黑体" w:cs="黑体"/>
          <w:b/>
          <w:bCs/>
          <w:kern w:val="44"/>
          <w:sz w:val="32"/>
          <w:szCs w:val="32"/>
        </w:rPr>
        <w:t>4 工作过程</w:t>
      </w:r>
      <w:bookmarkEnd w:id="12"/>
    </w:p>
    <w:p>
      <w:pPr>
        <w:pageBreakBefore w:val="0"/>
        <w:kinsoku/>
        <w:wordWrap/>
        <w:overflowPunct/>
        <w:topLinePunct w:val="0"/>
        <w:bidi w:val="0"/>
        <w:adjustRightInd/>
        <w:snapToGrid/>
        <w:spacing w:line="560" w:lineRule="exact"/>
        <w:ind w:firstLine="630" w:firstLineChars="197"/>
        <w:textAlignment w:val="auto"/>
        <w:rPr>
          <w:rFonts w:hint="eastAsia" w:ascii="仿宋" w:hAnsi="仿宋" w:eastAsia="仿宋" w:cs="仿宋"/>
          <w:bCs/>
          <w:sz w:val="32"/>
          <w:szCs w:val="32"/>
        </w:rPr>
      </w:pPr>
      <w:r>
        <w:rPr>
          <w:rFonts w:hint="eastAsia" w:ascii="仿宋" w:hAnsi="仿宋" w:eastAsia="仿宋" w:cs="仿宋"/>
          <w:bCs/>
          <w:sz w:val="32"/>
          <w:szCs w:val="32"/>
        </w:rPr>
        <w:t>（1）准备阶段</w:t>
      </w:r>
    </w:p>
    <w:p>
      <w:pPr>
        <w:pageBreakBefore w:val="0"/>
        <w:kinsoku/>
        <w:wordWrap/>
        <w:overflowPunct/>
        <w:topLinePunct w:val="0"/>
        <w:bidi w:val="0"/>
        <w:adjustRightInd/>
        <w:snapToGrid/>
        <w:spacing w:line="560" w:lineRule="exact"/>
        <w:ind w:firstLine="630" w:firstLineChars="197"/>
        <w:textAlignment w:val="auto"/>
        <w:rPr>
          <w:rFonts w:ascii="宋体" w:hAnsi="宋体"/>
          <w:sz w:val="32"/>
          <w:szCs w:val="32"/>
        </w:rPr>
      </w:pPr>
      <w:r>
        <w:rPr>
          <w:rFonts w:hint="eastAsia" w:ascii="仿宋" w:hAnsi="仿宋" w:eastAsia="仿宋" w:cs="仿宋"/>
          <w:color w:val="auto"/>
          <w:sz w:val="32"/>
          <w:szCs w:val="32"/>
        </w:rPr>
        <w:t>2022年，陕西省环境科学研究</w:t>
      </w:r>
      <w:r>
        <w:rPr>
          <w:rFonts w:hint="eastAsia" w:ascii="仿宋" w:hAnsi="仿宋" w:eastAsia="仿宋" w:cs="仿宋"/>
          <w:color w:val="auto"/>
          <w:sz w:val="32"/>
          <w:szCs w:val="32"/>
          <w:lang w:val="en-US" w:eastAsia="zh-CN"/>
        </w:rPr>
        <w:t>院</w:t>
      </w:r>
      <w:r>
        <w:rPr>
          <w:rFonts w:hint="eastAsia" w:ascii="仿宋" w:hAnsi="仿宋" w:eastAsia="仿宋" w:cs="仿宋"/>
          <w:color w:val="auto"/>
          <w:sz w:val="32"/>
          <w:szCs w:val="32"/>
        </w:rPr>
        <w:t>多次派员赴贵州、湖南、安徽等地，就不同区域的矿山污染治理情况进行现场调研。派员在安康市白河县硫铁矿区污染综合治理项目长期驻点，充分掌握矿区综合整治项目内容，工程技术特点，以及项目实施对相关环境要素产生得正向影响</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2023年，陕西省环境科学研究院完成省级生态环境专项资金项目《白河县硫铁矿区主要污染物背景值调查与评估（一期）》，目前正在开展项目二期。上述</w:t>
      </w:r>
      <w:r>
        <w:rPr>
          <w:rFonts w:hint="eastAsia" w:ascii="仿宋" w:hAnsi="仿宋" w:eastAsia="仿宋" w:cs="仿宋"/>
          <w:color w:val="auto"/>
          <w:sz w:val="32"/>
          <w:szCs w:val="32"/>
        </w:rPr>
        <w:t>工作为后续</w:t>
      </w:r>
      <w:r>
        <w:rPr>
          <w:rFonts w:hint="eastAsia" w:ascii="仿宋" w:hAnsi="仿宋" w:eastAsia="仿宋" w:cs="仿宋"/>
          <w:color w:val="auto"/>
          <w:sz w:val="32"/>
          <w:szCs w:val="32"/>
          <w:lang w:val="en-US" w:eastAsia="zh-CN"/>
        </w:rPr>
        <w:t>标准</w:t>
      </w:r>
      <w:r>
        <w:rPr>
          <w:rFonts w:hint="eastAsia" w:ascii="仿宋" w:hAnsi="仿宋" w:eastAsia="仿宋" w:cs="仿宋"/>
          <w:color w:val="auto"/>
          <w:sz w:val="32"/>
          <w:szCs w:val="32"/>
        </w:rPr>
        <w:t>编制工作打下坚实</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rPr>
        <w:t>基础。</w:t>
      </w:r>
      <w:r>
        <w:rPr>
          <w:rFonts w:hint="eastAsia" w:ascii="仿宋" w:hAnsi="仿宋" w:eastAsia="仿宋" w:cs="仿宋"/>
          <w:bCs/>
          <w:sz w:val="32"/>
          <w:szCs w:val="32"/>
        </w:rPr>
        <w:t>针对现有的规范标准</w:t>
      </w:r>
      <w:r>
        <w:rPr>
          <w:rFonts w:hint="eastAsia" w:ascii="仿宋" w:hAnsi="仿宋" w:eastAsia="仿宋" w:cs="仿宋"/>
          <w:sz w:val="32"/>
          <w:szCs w:val="32"/>
        </w:rPr>
        <w:t>对</w:t>
      </w:r>
      <w:r>
        <w:rPr>
          <w:rFonts w:hint="eastAsia" w:ascii="仿宋" w:hAnsi="仿宋" w:eastAsia="仿宋" w:cs="仿宋"/>
          <w:sz w:val="32"/>
          <w:szCs w:val="32"/>
          <w:lang w:val="en-US" w:eastAsia="zh-CN"/>
        </w:rPr>
        <w:t>涉金属矿产开发环境污染调查评价</w:t>
      </w:r>
      <w:r>
        <w:rPr>
          <w:rFonts w:hint="eastAsia" w:ascii="仿宋" w:hAnsi="仿宋" w:eastAsia="仿宋" w:cs="仿宋"/>
          <w:sz w:val="32"/>
          <w:szCs w:val="32"/>
        </w:rPr>
        <w:t>的支撑不足的实际情况，</w:t>
      </w:r>
      <w:r>
        <w:rPr>
          <w:rFonts w:hint="eastAsia" w:ascii="仿宋" w:hAnsi="仿宋" w:eastAsia="仿宋" w:cs="仿宋"/>
          <w:bCs/>
          <w:sz w:val="32"/>
          <w:szCs w:val="32"/>
        </w:rPr>
        <w:t>202</w:t>
      </w:r>
      <w:r>
        <w:rPr>
          <w:rFonts w:hint="eastAsia" w:ascii="仿宋" w:hAnsi="仿宋" w:eastAsia="仿宋" w:cs="仿宋"/>
          <w:bCs/>
          <w:sz w:val="32"/>
          <w:szCs w:val="32"/>
          <w:lang w:val="en-US" w:eastAsia="zh-CN"/>
        </w:rPr>
        <w:t>3</w:t>
      </w:r>
      <w:r>
        <w:rPr>
          <w:rFonts w:hint="eastAsia" w:ascii="仿宋" w:hAnsi="仿宋" w:eastAsia="仿宋" w:cs="仿宋"/>
          <w:bCs/>
          <w:sz w:val="32"/>
          <w:szCs w:val="32"/>
        </w:rPr>
        <w:t>年</w:t>
      </w:r>
      <w:r>
        <w:rPr>
          <w:rFonts w:hint="eastAsia" w:ascii="仿宋" w:hAnsi="仿宋" w:eastAsia="仿宋" w:cs="仿宋"/>
          <w:bCs/>
          <w:sz w:val="32"/>
          <w:szCs w:val="32"/>
          <w:lang w:val="en-US" w:eastAsia="zh-CN"/>
        </w:rPr>
        <w:t>12</w:t>
      </w:r>
      <w:r>
        <w:rPr>
          <w:rFonts w:hint="eastAsia" w:ascii="仿宋" w:hAnsi="仿宋" w:eastAsia="仿宋" w:cs="仿宋"/>
          <w:bCs/>
          <w:sz w:val="32"/>
          <w:szCs w:val="32"/>
        </w:rPr>
        <w:t>月初</w:t>
      </w:r>
      <w:r>
        <w:rPr>
          <w:rFonts w:hint="eastAsia" w:ascii="仿宋" w:hAnsi="仿宋" w:eastAsia="仿宋" w:cs="仿宋"/>
          <w:bCs/>
          <w:sz w:val="32"/>
          <w:szCs w:val="32"/>
          <w:lang w:val="en-US" w:eastAsia="zh-CN"/>
        </w:rPr>
        <w:t>本文件</w:t>
      </w:r>
      <w:r>
        <w:rPr>
          <w:rFonts w:hint="eastAsia" w:ascii="仿宋" w:hAnsi="仿宋" w:eastAsia="仿宋" w:cs="仿宋"/>
          <w:bCs/>
          <w:sz w:val="32"/>
          <w:szCs w:val="32"/>
        </w:rPr>
        <w:t>成立</w:t>
      </w:r>
      <w:r>
        <w:rPr>
          <w:rFonts w:hint="eastAsia" w:ascii="仿宋" w:hAnsi="仿宋" w:eastAsia="仿宋" w:cs="仿宋"/>
          <w:bCs/>
          <w:sz w:val="32"/>
          <w:szCs w:val="32"/>
          <w:lang w:val="en-US" w:eastAsia="zh-CN"/>
        </w:rPr>
        <w:t>起草</w:t>
      </w:r>
      <w:r>
        <w:rPr>
          <w:rFonts w:hint="eastAsia" w:ascii="仿宋" w:hAnsi="仿宋" w:eastAsia="仿宋" w:cs="仿宋"/>
          <w:bCs/>
          <w:sz w:val="32"/>
          <w:szCs w:val="32"/>
        </w:rPr>
        <w:t>组，</w:t>
      </w:r>
      <w:r>
        <w:rPr>
          <w:rFonts w:hint="eastAsia" w:ascii="仿宋" w:hAnsi="仿宋" w:eastAsia="仿宋" w:cs="仿宋"/>
          <w:bCs/>
          <w:sz w:val="32"/>
          <w:szCs w:val="32"/>
          <w:lang w:val="en-US" w:eastAsia="zh-CN"/>
        </w:rPr>
        <w:t>计划开展编制工作。</w:t>
      </w:r>
      <w:r>
        <w:rPr>
          <w:rFonts w:hint="eastAsia" w:ascii="仿宋" w:hAnsi="仿宋" w:eastAsia="仿宋" w:cs="仿宋"/>
          <w:color w:val="auto"/>
          <w:sz w:val="32"/>
          <w:szCs w:val="32"/>
          <w:lang w:val="en-US" w:eastAsia="zh-CN"/>
        </w:rPr>
        <w:t>在前期开展工作开展和</w:t>
      </w:r>
      <w:r>
        <w:rPr>
          <w:rFonts w:hint="eastAsia" w:ascii="仿宋" w:hAnsi="仿宋" w:eastAsia="仿宋" w:cs="仿宋"/>
          <w:bCs/>
          <w:sz w:val="32"/>
          <w:szCs w:val="32"/>
        </w:rPr>
        <w:t>查阅国内外</w:t>
      </w:r>
      <w:r>
        <w:rPr>
          <w:rFonts w:hint="eastAsia" w:ascii="仿宋" w:hAnsi="仿宋" w:eastAsia="仿宋" w:cs="仿宋"/>
          <w:bCs/>
          <w:sz w:val="32"/>
          <w:szCs w:val="32"/>
          <w:lang w:val="en-US" w:eastAsia="zh-CN"/>
        </w:rPr>
        <w:t>涉金属矿产开发环境污染调查评价资料的</w:t>
      </w:r>
      <w:r>
        <w:rPr>
          <w:rFonts w:hint="eastAsia" w:ascii="仿宋" w:hAnsi="仿宋" w:eastAsia="仿宋" w:cs="仿宋"/>
          <w:bCs/>
          <w:sz w:val="32"/>
          <w:szCs w:val="32"/>
        </w:rPr>
        <w:t>基础上，</w:t>
      </w:r>
      <w:r>
        <w:rPr>
          <w:rFonts w:hint="eastAsia" w:ascii="仿宋" w:hAnsi="仿宋" w:eastAsia="仿宋" w:cs="仿宋"/>
          <w:bCs/>
          <w:sz w:val="32"/>
          <w:szCs w:val="32"/>
          <w:lang w:val="en-US" w:eastAsia="zh-CN"/>
        </w:rPr>
        <w:t>起草组成员认真学习</w:t>
      </w:r>
      <w:r>
        <w:rPr>
          <w:rFonts w:hint="eastAsia" w:ascii="仿宋" w:hAnsi="仿宋" w:eastAsia="仿宋" w:cs="仿宋"/>
          <w:sz w:val="32"/>
          <w:szCs w:val="32"/>
          <w:highlight w:val="none"/>
          <w:lang w:val="en-US" w:eastAsia="zh-CN"/>
        </w:rPr>
        <w:t>《白河县硫铁矿区污染综合治理总体方案》和《陕西省汉江丹江流域涉金属矿产开发生态环境综合整治规划（2021-2030年）》，</w:t>
      </w:r>
      <w:r>
        <w:rPr>
          <w:rFonts w:hint="eastAsia" w:ascii="仿宋" w:hAnsi="仿宋" w:eastAsia="仿宋" w:cs="仿宋"/>
          <w:sz w:val="32"/>
          <w:szCs w:val="32"/>
        </w:rPr>
        <w:t>初步确定了</w:t>
      </w:r>
      <w:r>
        <w:rPr>
          <w:rFonts w:hint="eastAsia" w:ascii="仿宋" w:hAnsi="仿宋" w:eastAsia="仿宋" w:cs="仿宋"/>
          <w:sz w:val="32"/>
          <w:szCs w:val="32"/>
          <w:lang w:val="en-US" w:eastAsia="zh-CN"/>
        </w:rPr>
        <w:t>涉本文件</w:t>
      </w:r>
      <w:r>
        <w:rPr>
          <w:rFonts w:hint="eastAsia" w:ascii="仿宋" w:hAnsi="仿宋" w:eastAsia="仿宋" w:cs="仿宋"/>
          <w:sz w:val="32"/>
          <w:szCs w:val="32"/>
        </w:rPr>
        <w:t>的主要内容，并讨论制定了规范编制任务以及各参加单位的基本任务分工</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编制完成本文件</w:t>
      </w:r>
      <w:r>
        <w:rPr>
          <w:rFonts w:hint="eastAsia" w:ascii="仿宋" w:hAnsi="仿宋" w:eastAsia="仿宋" w:cs="仿宋"/>
          <w:sz w:val="32"/>
          <w:szCs w:val="32"/>
          <w:lang w:val="en-US" w:eastAsia="zh-CN"/>
        </w:rPr>
        <w:t>（草案）、立项申请书、实施方案等立项材料的准备工作。</w:t>
      </w:r>
    </w:p>
    <w:p>
      <w:pPr>
        <w:pageBreakBefore w:val="0"/>
        <w:kinsoku/>
        <w:wordWrap/>
        <w:overflowPunct/>
        <w:topLinePunct w:val="0"/>
        <w:bidi w:val="0"/>
        <w:adjustRightInd/>
        <w:snapToGrid/>
        <w:spacing w:line="560" w:lineRule="exact"/>
        <w:ind w:firstLine="630" w:firstLineChars="197"/>
        <w:textAlignment w:val="auto"/>
        <w:rPr>
          <w:rFonts w:hint="eastAsia" w:ascii="仿宋" w:hAnsi="仿宋" w:eastAsia="仿宋" w:cs="仿宋"/>
          <w:bCs/>
          <w:sz w:val="32"/>
          <w:szCs w:val="32"/>
        </w:rPr>
      </w:pPr>
      <w:r>
        <w:rPr>
          <w:rFonts w:hint="eastAsia" w:ascii="仿宋" w:hAnsi="仿宋" w:eastAsia="仿宋" w:cs="仿宋"/>
          <w:bCs/>
          <w:sz w:val="32"/>
          <w:szCs w:val="32"/>
        </w:rPr>
        <w:t>（2）立项阶段</w:t>
      </w:r>
    </w:p>
    <w:p>
      <w:pPr>
        <w:pageBreakBefore w:val="0"/>
        <w:kinsoku/>
        <w:wordWrap/>
        <w:overflowPunct/>
        <w:topLinePunct w:val="0"/>
        <w:bidi w:val="0"/>
        <w:adjustRightInd/>
        <w:snapToGrid/>
        <w:spacing w:line="560" w:lineRule="exact"/>
        <w:ind w:firstLine="630" w:firstLineChars="197"/>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在前期准备工作基础上，按照</w:t>
      </w:r>
      <w:r>
        <w:rPr>
          <w:rFonts w:hint="eastAsia" w:ascii="仿宋" w:hAnsi="仿宋" w:eastAsia="仿宋" w:cs="仿宋"/>
          <w:sz w:val="32"/>
          <w:szCs w:val="32"/>
        </w:rPr>
        <w:t>陕西省市场监督管理局标准制订工作程序，20</w:t>
      </w:r>
      <w:r>
        <w:rPr>
          <w:rFonts w:hint="eastAsia" w:ascii="仿宋" w:hAnsi="仿宋" w:eastAsia="仿宋" w:cs="仿宋"/>
          <w:sz w:val="32"/>
          <w:szCs w:val="32"/>
          <w:lang w:val="en-US" w:eastAsia="zh-CN"/>
        </w:rPr>
        <w:t>24</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月经</w:t>
      </w:r>
      <w:r>
        <w:rPr>
          <w:rFonts w:hint="eastAsia" w:ascii="仿宋" w:hAnsi="仿宋" w:eastAsia="仿宋" w:cs="仿宋"/>
          <w:sz w:val="32"/>
          <w:szCs w:val="32"/>
        </w:rPr>
        <w:t>陕西省环境科学研究院</w:t>
      </w:r>
      <w:r>
        <w:rPr>
          <w:rFonts w:hint="eastAsia" w:ascii="仿宋" w:hAnsi="仿宋" w:eastAsia="仿宋" w:cs="仿宋"/>
          <w:sz w:val="32"/>
          <w:szCs w:val="32"/>
          <w:lang w:val="en-US" w:eastAsia="zh-CN"/>
        </w:rPr>
        <w:t>、生态环境部华南环境科学研究所、生态环境部固体废物与化学品管理技术中心、中国地质调查局西安地质调查中心、陕西省中勘环境地质研究中心有限公司、陕西省水工环地质调查中心联合申报，陕西省生态环境厅推荐，本文件制订项目申报书正式提交至陕西</w:t>
      </w:r>
      <w:r>
        <w:rPr>
          <w:rFonts w:hint="eastAsia" w:ascii="仿宋" w:hAnsi="仿宋" w:eastAsia="仿宋" w:cs="仿宋"/>
          <w:sz w:val="32"/>
          <w:szCs w:val="32"/>
        </w:rPr>
        <w:t>省市场监督管理局。经专家评审后，该项目于20</w:t>
      </w:r>
      <w:r>
        <w:rPr>
          <w:rFonts w:hint="eastAsia" w:ascii="仿宋" w:hAnsi="仿宋" w:eastAsia="仿宋" w:cs="仿宋"/>
          <w:sz w:val="32"/>
          <w:szCs w:val="32"/>
          <w:lang w:val="en-US" w:eastAsia="zh-CN"/>
        </w:rPr>
        <w:t>24</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月获批立项。</w:t>
      </w:r>
    </w:p>
    <w:p>
      <w:pPr>
        <w:pageBreakBefore w:val="0"/>
        <w:kinsoku/>
        <w:wordWrap/>
        <w:overflowPunct/>
        <w:topLinePunct w:val="0"/>
        <w:bidi w:val="0"/>
        <w:adjustRightInd/>
        <w:snapToGrid/>
        <w:spacing w:line="560" w:lineRule="exact"/>
        <w:ind w:firstLine="630" w:firstLineChars="197"/>
        <w:textAlignment w:val="auto"/>
        <w:rPr>
          <w:rFonts w:hint="eastAsia" w:ascii="仿宋" w:hAnsi="仿宋" w:eastAsia="仿宋" w:cs="仿宋"/>
          <w:bCs/>
          <w:sz w:val="32"/>
          <w:szCs w:val="32"/>
        </w:rPr>
      </w:pPr>
      <w:r>
        <w:rPr>
          <w:rFonts w:hint="eastAsia" w:ascii="仿宋" w:hAnsi="仿宋" w:eastAsia="仿宋" w:cs="仿宋"/>
          <w:bCs/>
          <w:sz w:val="32"/>
          <w:szCs w:val="32"/>
        </w:rPr>
        <w:t>（3）起草阶段</w:t>
      </w:r>
    </w:p>
    <w:p>
      <w:pPr>
        <w:pageBreakBefore w:val="0"/>
        <w:kinsoku/>
        <w:wordWrap/>
        <w:overflowPunct/>
        <w:topLinePunct w:val="0"/>
        <w:bidi w:val="0"/>
        <w:adjustRightInd/>
        <w:snapToGrid/>
        <w:spacing w:line="560" w:lineRule="exact"/>
        <w:ind w:firstLine="630" w:firstLineChars="197"/>
        <w:textAlignment w:val="auto"/>
        <w:rPr>
          <w:rFonts w:hint="default" w:ascii="仿宋" w:hAnsi="仿宋" w:eastAsia="仿宋" w:cs="仿宋"/>
          <w:bCs/>
          <w:sz w:val="32"/>
          <w:szCs w:val="32"/>
          <w:lang w:val="en-US" w:eastAsia="zh-CN"/>
        </w:rPr>
      </w:pPr>
      <w:r>
        <w:rPr>
          <w:rFonts w:hint="eastAsia" w:ascii="仿宋" w:hAnsi="仿宋" w:eastAsia="仿宋" w:cs="仿宋"/>
          <w:bCs/>
          <w:sz w:val="32"/>
          <w:szCs w:val="32"/>
        </w:rPr>
        <w:t>项目获批立项后，陕西省环境科学研究院</w:t>
      </w:r>
      <w:r>
        <w:rPr>
          <w:rFonts w:hint="eastAsia" w:ascii="仿宋" w:hAnsi="仿宋" w:eastAsia="仿宋" w:cs="仿宋"/>
          <w:bCs/>
          <w:sz w:val="32"/>
          <w:szCs w:val="32"/>
          <w:lang w:val="en-US" w:eastAsia="zh-CN"/>
        </w:rPr>
        <w:t>正式邀请相关单位</w:t>
      </w:r>
      <w:r>
        <w:rPr>
          <w:rFonts w:hint="eastAsia" w:ascii="仿宋" w:hAnsi="仿宋" w:eastAsia="仿宋" w:cs="仿宋"/>
          <w:bCs/>
          <w:sz w:val="32"/>
          <w:szCs w:val="32"/>
        </w:rPr>
        <w:t>组成标准起草小组，</w:t>
      </w:r>
      <w:r>
        <w:rPr>
          <w:rFonts w:hint="eastAsia" w:ascii="仿宋" w:hAnsi="仿宋" w:eastAsia="仿宋" w:cs="仿宋"/>
          <w:bCs/>
          <w:sz w:val="32"/>
          <w:szCs w:val="32"/>
          <w:lang w:val="en-US" w:eastAsia="zh-CN"/>
        </w:rPr>
        <w:t>根据项目立项专家评审意见，原标准名称修改为《涉金属矿产开发环境污染防治技术指南 第2部分：调查评价》。</w:t>
      </w:r>
    </w:p>
    <w:p>
      <w:pPr>
        <w:pageBreakBefore w:val="0"/>
        <w:kinsoku/>
        <w:wordWrap/>
        <w:overflowPunct/>
        <w:topLinePunct w:val="0"/>
        <w:bidi w:val="0"/>
        <w:adjustRightInd/>
        <w:snapToGrid/>
        <w:spacing w:line="560" w:lineRule="exact"/>
        <w:ind w:firstLine="630" w:firstLineChars="197"/>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2024年5月29日，我院组织参编单位召开标准编制启动会。6月，起草组在</w:t>
      </w:r>
      <w:r>
        <w:rPr>
          <w:rFonts w:hint="eastAsia" w:ascii="仿宋" w:hAnsi="仿宋" w:eastAsia="仿宋" w:cs="仿宋"/>
          <w:bCs/>
          <w:sz w:val="32"/>
          <w:szCs w:val="32"/>
        </w:rPr>
        <w:t>全面整理、分析</w:t>
      </w:r>
      <w:r>
        <w:rPr>
          <w:rFonts w:hint="eastAsia" w:ascii="仿宋" w:hAnsi="仿宋" w:eastAsia="仿宋" w:cs="仿宋"/>
          <w:bCs/>
          <w:sz w:val="32"/>
          <w:szCs w:val="32"/>
          <w:lang w:val="en-US" w:eastAsia="zh-CN"/>
        </w:rPr>
        <w:t>调研</w:t>
      </w:r>
      <w:r>
        <w:rPr>
          <w:rFonts w:hint="eastAsia" w:ascii="仿宋" w:hAnsi="仿宋" w:eastAsia="仿宋" w:cs="仿宋"/>
          <w:bCs/>
          <w:sz w:val="32"/>
          <w:szCs w:val="32"/>
        </w:rPr>
        <w:t>基础上，广泛参阅国内外现有标准和有关资料，</w:t>
      </w:r>
      <w:r>
        <w:rPr>
          <w:rFonts w:hint="eastAsia" w:ascii="仿宋" w:hAnsi="仿宋" w:eastAsia="仿宋" w:cs="仿宋"/>
          <w:bCs/>
          <w:sz w:val="32"/>
          <w:szCs w:val="32"/>
          <w:lang w:val="en-US" w:eastAsia="zh-CN"/>
        </w:rPr>
        <w:t>听取多方面意见，按照标准编制分工协作，完成《第2部分：调查评价》（工作组讨论稿）。7月-10月，起草组多次召开内部研讨会，对标准进行讨论和修改完善。在此期间，多次邀请行业专家对标准编制工作进行指导</w:t>
      </w:r>
      <w:r>
        <w:rPr>
          <w:rFonts w:hint="eastAsia" w:ascii="仿宋" w:hAnsi="仿宋" w:eastAsia="仿宋" w:cs="仿宋"/>
          <w:bCs/>
          <w:sz w:val="32"/>
          <w:szCs w:val="32"/>
        </w:rPr>
        <w:t>。</w:t>
      </w:r>
      <w:r>
        <w:rPr>
          <w:rFonts w:hint="eastAsia" w:ascii="仿宋" w:hAnsi="仿宋" w:eastAsia="仿宋" w:cs="仿宋"/>
          <w:bCs/>
          <w:sz w:val="32"/>
          <w:szCs w:val="32"/>
          <w:lang w:val="en-US" w:eastAsia="zh-CN"/>
        </w:rPr>
        <w:t>11月5日，我院组织召开标准编制工作推进会，根据标准发布要求倒排计划，对标准编制工作提出明确阶段性要求。</w:t>
      </w:r>
    </w:p>
    <w:p>
      <w:pPr>
        <w:pageBreakBefore w:val="0"/>
        <w:kinsoku/>
        <w:wordWrap/>
        <w:overflowPunct/>
        <w:topLinePunct w:val="0"/>
        <w:bidi w:val="0"/>
        <w:adjustRightInd/>
        <w:snapToGrid/>
        <w:spacing w:line="560" w:lineRule="exact"/>
        <w:ind w:firstLine="630" w:firstLineChars="197"/>
        <w:textAlignment w:val="auto"/>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2024年12月3日，陕西省生态环境厅委托陕西省生态环境保护标准化技术委员会组织技术专家、管理部门相关人员组织召开标准技术审查会。与会专家听取标准起草小组对编制内容的汇报，审阅相关资料后一致认为标准内容调研充分、内容较完整，对涉金属矿山环境污染调查评价具有指导意义，同意通过技术审查。会后，标准起草小组按照专家技术审查意见进行修改完善，形成标准（征求意见稿）。</w:t>
      </w:r>
    </w:p>
    <w:p>
      <w:pPr>
        <w:keepNext/>
        <w:keepLines/>
        <w:pageBreakBefore w:val="0"/>
        <w:widowControl w:val="0"/>
        <w:kinsoku/>
        <w:wordWrap/>
        <w:overflowPunct/>
        <w:topLinePunct w:val="0"/>
        <w:autoSpaceDE/>
        <w:autoSpaceDN/>
        <w:bidi w:val="0"/>
        <w:adjustRightInd/>
        <w:snapToGrid/>
        <w:spacing w:line="560" w:lineRule="exact"/>
        <w:textAlignment w:val="auto"/>
        <w:outlineLvl w:val="0"/>
        <w:rPr>
          <w:rFonts w:hint="default" w:ascii="黑体" w:hAnsi="黑体" w:eastAsia="黑体" w:cs="黑体"/>
          <w:b/>
          <w:bCs/>
          <w:kern w:val="44"/>
          <w:sz w:val="32"/>
          <w:szCs w:val="32"/>
          <w:lang w:val="en-US" w:eastAsia="zh-CN"/>
        </w:rPr>
      </w:pPr>
      <w:bookmarkStart w:id="13" w:name="_Toc26401"/>
      <w:r>
        <w:rPr>
          <w:rFonts w:hint="eastAsia" w:ascii="黑体" w:hAnsi="黑体" w:eastAsia="黑体" w:cs="黑体"/>
          <w:b/>
          <w:bCs/>
          <w:kern w:val="44"/>
          <w:sz w:val="32"/>
          <w:szCs w:val="32"/>
        </w:rPr>
        <w:t>5 标准制订的依据</w:t>
      </w:r>
      <w:r>
        <w:rPr>
          <w:rFonts w:hint="eastAsia" w:ascii="黑体" w:hAnsi="黑体" w:eastAsia="黑体" w:cs="黑体"/>
          <w:b/>
          <w:bCs/>
          <w:kern w:val="44"/>
          <w:sz w:val="32"/>
          <w:szCs w:val="32"/>
          <w:lang w:val="en-US" w:eastAsia="zh-CN"/>
        </w:rPr>
        <w:t>与原则</w:t>
      </w:r>
      <w:bookmarkEnd w:id="13"/>
    </w:p>
    <w:p>
      <w:pPr>
        <w:pStyle w:val="4"/>
        <w:keepNext w:val="0"/>
        <w:keepLines w:val="0"/>
        <w:pageBreakBefore w:val="0"/>
        <w:kinsoku/>
        <w:wordWrap/>
        <w:overflowPunct/>
        <w:topLinePunct w:val="0"/>
        <w:autoSpaceDE/>
        <w:autoSpaceDN/>
        <w:bidi w:val="0"/>
        <w:adjustRightInd/>
        <w:snapToGrid/>
        <w:spacing w:line="560" w:lineRule="exact"/>
        <w:textAlignment w:val="auto"/>
        <w:rPr>
          <w:rFonts w:hint="default" w:ascii="楷体" w:hAnsi="楷体" w:eastAsia="楷体" w:cs="楷体"/>
          <w:sz w:val="32"/>
          <w:szCs w:val="32"/>
          <w:lang w:val="en-US" w:eastAsia="zh-CN"/>
        </w:rPr>
      </w:pPr>
      <w:bookmarkStart w:id="14" w:name="_Toc15261"/>
      <w:r>
        <w:rPr>
          <w:rFonts w:hint="eastAsia" w:ascii="楷体" w:hAnsi="楷体" w:eastAsia="楷体" w:cs="楷体"/>
          <w:sz w:val="32"/>
          <w:szCs w:val="32"/>
          <w:lang w:val="en-US" w:eastAsia="zh-CN"/>
        </w:rPr>
        <w:t>5.1 编制依据</w:t>
      </w:r>
      <w:bookmarkEnd w:id="14"/>
    </w:p>
    <w:p>
      <w:pPr>
        <w:pStyle w:val="30"/>
        <w:keepNext w:val="0"/>
        <w:keepLines w:val="0"/>
        <w:pageBreakBefore w:val="0"/>
        <w:shd w:val="clear" w:color="auto" w:fill="auto"/>
        <w:kinsoku/>
        <w:wordWrap/>
        <w:overflowPunct/>
        <w:topLinePunct w:val="0"/>
        <w:autoSpaceDE/>
        <w:autoSpaceDN/>
        <w:bidi w:val="0"/>
        <w:adjustRightInd/>
        <w:snapToGrid/>
        <w:spacing w:before="0" w:beforeAutospacing="0" w:after="0" w:afterAutospacing="0" w:line="560" w:lineRule="exact"/>
        <w:ind w:firstLine="482"/>
        <w:jc w:val="both"/>
        <w:textAlignment w:val="auto"/>
        <w:rPr>
          <w:rFonts w:hint="eastAsia" w:ascii="仿宋" w:hAnsi="仿宋" w:eastAsia="仿宋" w:cs="Times New Roman"/>
          <w:color w:val="000000"/>
          <w:kern w:val="2"/>
          <w:sz w:val="32"/>
          <w:szCs w:val="32"/>
        </w:rPr>
      </w:pPr>
      <w:r>
        <w:rPr>
          <w:rFonts w:hint="eastAsia" w:ascii="仿宋" w:hAnsi="仿宋" w:eastAsia="仿宋" w:cs="Times New Roman"/>
          <w:color w:val="000000"/>
          <w:kern w:val="2"/>
          <w:sz w:val="32"/>
          <w:szCs w:val="32"/>
          <w:lang w:val="en-US" w:eastAsia="zh-CN"/>
        </w:rPr>
        <w:t>本文件</w:t>
      </w:r>
      <w:r>
        <w:rPr>
          <w:rFonts w:hint="eastAsia" w:ascii="仿宋" w:hAnsi="仿宋" w:eastAsia="仿宋" w:cs="Times New Roman"/>
          <w:color w:val="000000"/>
          <w:kern w:val="2"/>
          <w:sz w:val="32"/>
          <w:szCs w:val="32"/>
        </w:rPr>
        <w:t>编制</w:t>
      </w:r>
      <w:r>
        <w:rPr>
          <w:rFonts w:hint="eastAsia" w:ascii="仿宋" w:hAnsi="仿宋" w:eastAsia="仿宋" w:cs="Times New Roman"/>
          <w:color w:val="000000"/>
          <w:kern w:val="2"/>
          <w:sz w:val="32"/>
          <w:szCs w:val="32"/>
          <w:lang w:val="en-US" w:eastAsia="zh-CN"/>
        </w:rPr>
        <w:t>依据国内外涉金属矿产开发污染防治方面的标准、法规以及相关领域的研究及应用成果。同时，</w:t>
      </w:r>
      <w:r>
        <w:rPr>
          <w:rFonts w:hint="eastAsia" w:ascii="仿宋" w:hAnsi="仿宋" w:eastAsia="仿宋" w:cs="Times New Roman"/>
          <w:color w:val="000000"/>
          <w:kern w:val="2"/>
          <w:sz w:val="32"/>
          <w:szCs w:val="32"/>
        </w:rPr>
        <w:t xml:space="preserve">按照 </w:t>
      </w:r>
      <w:r>
        <w:rPr>
          <w:rFonts w:hint="eastAsia" w:ascii="仿宋" w:hAnsi="仿宋" w:eastAsia="仿宋" w:cs="Times New Roman"/>
          <w:color w:val="000000"/>
          <w:kern w:val="2"/>
          <w:sz w:val="32"/>
          <w:szCs w:val="32"/>
          <w:lang w:val="en-US" w:eastAsia="zh-CN"/>
        </w:rPr>
        <w:t>GB/T 1.1-2020 《标准化工作导则第 1 部分：标准化文件的结构和起草规则》要求规则进行编写。</w:t>
      </w:r>
    </w:p>
    <w:p>
      <w:pPr>
        <w:pStyle w:val="4"/>
        <w:keepNext w:val="0"/>
        <w:keepLines w:val="0"/>
        <w:pageBreakBefore w:val="0"/>
        <w:kinsoku/>
        <w:wordWrap/>
        <w:overflowPunct/>
        <w:topLinePunct w:val="0"/>
        <w:autoSpaceDE/>
        <w:autoSpaceDN/>
        <w:bidi w:val="0"/>
        <w:adjustRightInd/>
        <w:snapToGrid/>
        <w:spacing w:line="560" w:lineRule="exact"/>
        <w:textAlignment w:val="auto"/>
        <w:rPr>
          <w:rFonts w:hint="eastAsia" w:ascii="楷体" w:hAnsi="楷体" w:eastAsia="楷体" w:cs="楷体"/>
          <w:sz w:val="32"/>
          <w:szCs w:val="32"/>
          <w:lang w:val="en-US" w:eastAsia="zh-CN"/>
        </w:rPr>
      </w:pPr>
      <w:bookmarkStart w:id="15" w:name="_Toc19701"/>
      <w:r>
        <w:rPr>
          <w:rFonts w:hint="eastAsia" w:ascii="楷体" w:hAnsi="楷体" w:eastAsia="楷体" w:cs="楷体"/>
          <w:sz w:val="32"/>
          <w:szCs w:val="32"/>
          <w:lang w:val="en-US" w:eastAsia="zh-CN"/>
        </w:rPr>
        <w:t>5.2 编制原则</w:t>
      </w:r>
      <w:bookmarkEnd w:id="15"/>
    </w:p>
    <w:p>
      <w:pPr>
        <w:pStyle w:val="30"/>
        <w:keepNext w:val="0"/>
        <w:keepLines w:val="0"/>
        <w:pageBreakBefore w:val="0"/>
        <w:shd w:val="clear" w:color="auto"/>
        <w:kinsoku/>
        <w:wordWrap/>
        <w:overflowPunct/>
        <w:topLinePunct w:val="0"/>
        <w:autoSpaceDE/>
        <w:autoSpaceDN/>
        <w:bidi w:val="0"/>
        <w:adjustRightInd/>
        <w:snapToGrid/>
        <w:spacing w:before="0" w:beforeAutospacing="0" w:after="0" w:afterAutospacing="0" w:line="560" w:lineRule="exact"/>
        <w:ind w:firstLine="480"/>
        <w:jc w:val="both"/>
        <w:textAlignment w:val="auto"/>
        <w:rPr>
          <w:rFonts w:hint="eastAsia" w:ascii="仿宋" w:hAnsi="仿宋" w:eastAsia="仿宋" w:cs="仿宋"/>
          <w:b w:val="0"/>
          <w:bCs w:val="0"/>
          <w:kern w:val="2"/>
          <w:sz w:val="32"/>
          <w:szCs w:val="32"/>
        </w:rPr>
      </w:pPr>
      <w:r>
        <w:rPr>
          <w:rFonts w:hint="eastAsia" w:ascii="仿宋" w:hAnsi="仿宋" w:eastAsia="仿宋" w:cs="仿宋"/>
          <w:b w:val="0"/>
          <w:bCs w:val="0"/>
          <w:kern w:val="2"/>
          <w:sz w:val="32"/>
          <w:szCs w:val="32"/>
        </w:rPr>
        <w:t>为了确保</w:t>
      </w:r>
      <w:r>
        <w:rPr>
          <w:rFonts w:hint="eastAsia" w:ascii="仿宋" w:hAnsi="仿宋" w:eastAsia="仿宋" w:cs="仿宋"/>
          <w:b w:val="0"/>
          <w:bCs w:val="0"/>
          <w:kern w:val="2"/>
          <w:sz w:val="32"/>
          <w:szCs w:val="32"/>
          <w:lang w:eastAsia="zh-CN"/>
        </w:rPr>
        <w:t>本文件</w:t>
      </w:r>
      <w:r>
        <w:rPr>
          <w:rFonts w:hint="eastAsia" w:ascii="仿宋" w:hAnsi="仿宋" w:eastAsia="仿宋" w:cs="仿宋"/>
          <w:b w:val="0"/>
          <w:bCs w:val="0"/>
          <w:kern w:val="2"/>
          <w:sz w:val="32"/>
          <w:szCs w:val="32"/>
        </w:rPr>
        <w:t>的科学性、合理性、可操作性和社会可接受性，坚持如下原则：</w:t>
      </w:r>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（1）科学性</w:t>
      </w:r>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以提升生态环境质量为目标，科学确定</w:t>
      </w:r>
      <w:bookmarkStart w:id="16" w:name="_Hlk161846725"/>
      <w:r>
        <w:rPr>
          <w:rFonts w:hint="eastAsia" w:ascii="仿宋" w:hAnsi="仿宋" w:eastAsia="仿宋" w:cs="仿宋"/>
          <w:bCs/>
          <w:sz w:val="32"/>
          <w:szCs w:val="32"/>
          <w:lang w:val="en-US" w:eastAsia="zh-CN"/>
        </w:rPr>
        <w:t>调查和评价</w:t>
      </w:r>
      <w:r>
        <w:rPr>
          <w:rFonts w:hint="eastAsia" w:ascii="仿宋" w:hAnsi="仿宋" w:eastAsia="仿宋" w:cs="仿宋"/>
          <w:bCs/>
          <w:sz w:val="32"/>
          <w:szCs w:val="32"/>
        </w:rPr>
        <w:t>方法</w:t>
      </w:r>
      <w:bookmarkEnd w:id="16"/>
      <w:r>
        <w:rPr>
          <w:rFonts w:hint="eastAsia" w:ascii="仿宋" w:hAnsi="仿宋" w:eastAsia="仿宋" w:cs="仿宋"/>
          <w:bCs/>
          <w:sz w:val="32"/>
          <w:szCs w:val="32"/>
        </w:rPr>
        <w:t>，客观反映</w:t>
      </w:r>
      <w:r>
        <w:rPr>
          <w:rFonts w:hint="eastAsia" w:ascii="仿宋" w:hAnsi="仿宋" w:eastAsia="仿宋" w:cs="仿宋"/>
          <w:bCs/>
          <w:sz w:val="32"/>
          <w:szCs w:val="32"/>
          <w:lang w:val="en-US" w:eastAsia="zh-CN"/>
        </w:rPr>
        <w:t>涉金属矿山环境</w:t>
      </w:r>
      <w:r>
        <w:rPr>
          <w:rFonts w:hint="eastAsia" w:ascii="仿宋" w:hAnsi="仿宋" w:eastAsia="仿宋" w:cs="仿宋"/>
          <w:bCs/>
          <w:sz w:val="32"/>
          <w:szCs w:val="32"/>
        </w:rPr>
        <w:t>污染</w:t>
      </w:r>
      <w:r>
        <w:rPr>
          <w:rFonts w:hint="eastAsia" w:ascii="仿宋" w:hAnsi="仿宋" w:eastAsia="仿宋" w:cs="仿宋"/>
          <w:bCs/>
          <w:sz w:val="32"/>
          <w:szCs w:val="32"/>
          <w:lang w:val="en-US" w:eastAsia="zh-CN"/>
        </w:rPr>
        <w:t>现状</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评价涉金属矿产开发过程对矿区地表水、土壤及地下水</w:t>
      </w:r>
      <w:r>
        <w:rPr>
          <w:rFonts w:hint="eastAsia" w:ascii="仿宋" w:hAnsi="仿宋" w:eastAsia="仿宋" w:cs="仿宋"/>
          <w:bCs/>
          <w:sz w:val="32"/>
          <w:szCs w:val="32"/>
        </w:rPr>
        <w:t>的影响</w:t>
      </w:r>
      <w:r>
        <w:rPr>
          <w:rFonts w:hint="eastAsia" w:ascii="仿宋" w:hAnsi="仿宋" w:eastAsia="仿宋" w:cs="仿宋"/>
          <w:bCs/>
          <w:sz w:val="32"/>
          <w:szCs w:val="32"/>
          <w:lang w:val="en-US" w:eastAsia="zh-CN"/>
        </w:rPr>
        <w:t>程度</w:t>
      </w:r>
      <w:r>
        <w:rPr>
          <w:rFonts w:hint="eastAsia" w:ascii="仿宋" w:hAnsi="仿宋" w:eastAsia="仿宋" w:cs="仿宋"/>
          <w:bCs/>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（2）规范性</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明确了</w:t>
      </w:r>
      <w:r>
        <w:rPr>
          <w:rFonts w:hint="eastAsia" w:ascii="仿宋" w:hAnsi="仿宋" w:eastAsia="仿宋" w:cs="仿宋"/>
          <w:bCs/>
          <w:sz w:val="32"/>
          <w:szCs w:val="32"/>
          <w:lang w:val="en-US" w:eastAsia="zh-CN"/>
        </w:rPr>
        <w:t>涉金属矿产开发环境污染调查评价</w:t>
      </w:r>
      <w:r>
        <w:rPr>
          <w:rFonts w:hint="eastAsia" w:ascii="仿宋" w:hAnsi="仿宋" w:eastAsia="仿宋" w:cs="仿宋"/>
          <w:bCs/>
          <w:sz w:val="32"/>
          <w:szCs w:val="32"/>
        </w:rPr>
        <w:t>的</w:t>
      </w:r>
      <w:r>
        <w:rPr>
          <w:rFonts w:hint="eastAsia" w:ascii="仿宋" w:hAnsi="仿宋" w:eastAsia="仿宋" w:cs="仿宋"/>
          <w:bCs/>
          <w:sz w:val="32"/>
          <w:szCs w:val="32"/>
          <w:lang w:val="en-US" w:eastAsia="zh-CN"/>
        </w:rPr>
        <w:t>总体调查方案编写和</w:t>
      </w:r>
      <w:r>
        <w:rPr>
          <w:rFonts w:hint="eastAsia" w:ascii="仿宋" w:hAnsi="仿宋" w:eastAsia="仿宋" w:cs="仿宋"/>
          <w:bCs/>
          <w:sz w:val="32"/>
          <w:szCs w:val="32"/>
        </w:rPr>
        <w:t>污染源</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地表水</w:t>
      </w:r>
      <w:r>
        <w:rPr>
          <w:rFonts w:hint="eastAsia" w:ascii="仿宋" w:hAnsi="仿宋" w:eastAsia="仿宋" w:cs="仿宋"/>
          <w:bCs/>
          <w:sz w:val="32"/>
          <w:szCs w:val="32"/>
        </w:rPr>
        <w:t>污染、土壤污染、地下水污染</w:t>
      </w:r>
      <w:r>
        <w:rPr>
          <w:rFonts w:hint="eastAsia" w:ascii="仿宋" w:hAnsi="仿宋" w:eastAsia="仿宋" w:cs="仿宋"/>
          <w:bCs/>
          <w:sz w:val="32"/>
          <w:szCs w:val="32"/>
          <w:lang w:val="en-US" w:eastAsia="zh-CN"/>
        </w:rPr>
        <w:t>调查</w:t>
      </w:r>
      <w:r>
        <w:rPr>
          <w:rFonts w:hint="eastAsia" w:ascii="仿宋" w:hAnsi="仿宋" w:eastAsia="仿宋" w:cs="仿宋"/>
          <w:bCs/>
          <w:sz w:val="32"/>
          <w:szCs w:val="32"/>
        </w:rPr>
        <w:t>与</w:t>
      </w:r>
      <w:r>
        <w:rPr>
          <w:rFonts w:hint="eastAsia" w:ascii="仿宋" w:hAnsi="仿宋" w:eastAsia="仿宋" w:cs="仿宋"/>
          <w:bCs/>
          <w:sz w:val="32"/>
          <w:szCs w:val="32"/>
          <w:lang w:val="en-US" w:eastAsia="zh-CN"/>
        </w:rPr>
        <w:t>评价</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以及</w:t>
      </w:r>
      <w:r>
        <w:rPr>
          <w:rFonts w:hint="eastAsia" w:ascii="仿宋" w:hAnsi="仿宋" w:eastAsia="仿宋" w:cs="仿宋"/>
          <w:bCs/>
          <w:sz w:val="32"/>
          <w:szCs w:val="32"/>
        </w:rPr>
        <w:t>图件编制</w:t>
      </w:r>
      <w:r>
        <w:rPr>
          <w:rFonts w:hint="eastAsia" w:ascii="仿宋" w:hAnsi="仿宋" w:eastAsia="仿宋" w:cs="仿宋"/>
          <w:bCs/>
          <w:sz w:val="32"/>
          <w:szCs w:val="32"/>
          <w:lang w:val="en-US" w:eastAsia="zh-CN"/>
        </w:rPr>
        <w:t>与</w:t>
      </w:r>
      <w:r>
        <w:rPr>
          <w:rFonts w:hint="eastAsia" w:ascii="仿宋" w:hAnsi="仿宋" w:eastAsia="仿宋" w:cs="仿宋"/>
          <w:bCs/>
          <w:sz w:val="32"/>
          <w:szCs w:val="32"/>
        </w:rPr>
        <w:t>报告编写等方面统一标准。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（3）可操作性</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通过定量和定性相结合的方式开展</w:t>
      </w:r>
      <w:r>
        <w:rPr>
          <w:rFonts w:hint="eastAsia" w:ascii="仿宋" w:hAnsi="仿宋" w:eastAsia="仿宋" w:cs="仿宋"/>
          <w:bCs/>
          <w:sz w:val="32"/>
          <w:szCs w:val="32"/>
          <w:lang w:val="en-US" w:eastAsia="zh-CN"/>
        </w:rPr>
        <w:t>调查评价</w:t>
      </w:r>
      <w:r>
        <w:rPr>
          <w:rFonts w:hint="eastAsia" w:ascii="仿宋" w:hAnsi="仿宋" w:eastAsia="仿宋" w:cs="仿宋"/>
          <w:bCs/>
          <w:sz w:val="32"/>
          <w:szCs w:val="32"/>
        </w:rPr>
        <w:t>，方法简便易行，评估数据与资料可获取、结果可量化，切合实际。</w:t>
      </w:r>
    </w:p>
    <w:p>
      <w:pPr>
        <w:keepNext/>
        <w:keepLines/>
        <w:pageBreakBefore w:val="0"/>
        <w:widowControl w:val="0"/>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kern w:val="44"/>
          <w:sz w:val="32"/>
          <w:szCs w:val="32"/>
        </w:rPr>
      </w:pPr>
      <w:bookmarkStart w:id="17" w:name="_Toc1974"/>
      <w:bookmarkStart w:id="18" w:name="_Toc29530"/>
      <w:r>
        <w:rPr>
          <w:rFonts w:hint="eastAsia" w:ascii="黑体" w:hAnsi="黑体" w:eastAsia="黑体" w:cs="黑体"/>
          <w:b/>
          <w:bCs/>
          <w:kern w:val="44"/>
          <w:sz w:val="32"/>
          <w:szCs w:val="32"/>
          <w:lang w:val="en-US" w:eastAsia="zh-CN"/>
        </w:rPr>
        <w:t>6 标准结构与主要</w:t>
      </w:r>
      <w:r>
        <w:rPr>
          <w:rFonts w:hint="eastAsia" w:ascii="黑体" w:hAnsi="黑体" w:eastAsia="黑体" w:cs="黑体"/>
          <w:b/>
          <w:bCs/>
          <w:kern w:val="44"/>
          <w:sz w:val="32"/>
          <w:szCs w:val="32"/>
        </w:rPr>
        <w:t>技术内容</w:t>
      </w:r>
      <w:bookmarkEnd w:id="17"/>
      <w:bookmarkEnd w:id="18"/>
    </w:p>
    <w:p>
      <w:pPr>
        <w:pStyle w:val="4"/>
        <w:keepNext w:val="0"/>
        <w:keepLines w:val="0"/>
        <w:pageBreakBefore w:val="0"/>
        <w:kinsoku/>
        <w:wordWrap/>
        <w:topLinePunct w:val="0"/>
        <w:bidi w:val="0"/>
        <w:adjustRightInd/>
        <w:snapToGrid/>
        <w:spacing w:line="560" w:lineRule="exact"/>
        <w:textAlignment w:val="auto"/>
        <w:rPr>
          <w:rFonts w:hint="eastAsia" w:ascii="楷体" w:hAnsi="楷体" w:eastAsia="楷体" w:cs="楷体"/>
          <w:sz w:val="32"/>
          <w:szCs w:val="32"/>
          <w:lang w:val="en-US" w:eastAsia="zh-CN"/>
        </w:rPr>
      </w:pPr>
      <w:bookmarkStart w:id="19" w:name="_Toc31113"/>
      <w:bookmarkStart w:id="20" w:name="_Toc214"/>
      <w:r>
        <w:rPr>
          <w:rFonts w:hint="eastAsia" w:ascii="楷体" w:hAnsi="楷体" w:eastAsia="楷体" w:cs="楷体"/>
          <w:sz w:val="32"/>
          <w:szCs w:val="32"/>
          <w:lang w:val="en-US" w:eastAsia="zh-CN"/>
        </w:rPr>
        <w:t>6.1 范围</w:t>
      </w:r>
      <w:bookmarkEnd w:id="19"/>
    </w:p>
    <w:p>
      <w:pPr>
        <w:pStyle w:val="74"/>
        <w:keepNext w:val="0"/>
        <w:keepLines w:val="0"/>
        <w:pageBreakBefore w:val="0"/>
        <w:kinsoku/>
        <w:wordWrap/>
        <w:overflowPunct/>
        <w:topLinePunct w:val="0"/>
        <w:bidi w:val="0"/>
        <w:adjustRightInd/>
        <w:snapToGrid/>
        <w:spacing w:line="560" w:lineRule="exac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本文件规定了涉金属矿产开发环境污染调查评价的总体要求、调查方案编写、矿山污染源调查、地表水污染调查与评价、土壤污染调查与评价、地下水污染调查与评价、成果编制等内容和要求。</w:t>
      </w:r>
    </w:p>
    <w:p>
      <w:pPr>
        <w:pStyle w:val="74"/>
        <w:keepNext w:val="0"/>
        <w:keepLines w:val="0"/>
        <w:pageBreakBefore w:val="0"/>
        <w:kinsoku/>
        <w:wordWrap/>
        <w:overflowPunct/>
        <w:topLinePunct w:val="0"/>
        <w:bidi w:val="0"/>
        <w:adjustRightInd/>
        <w:snapToGrid/>
        <w:spacing w:line="560" w:lineRule="exact"/>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本文件适用于涉金属矿产开采活动结束后的矿山环境污染调查评价工作，生产过程中的矿山环境污染调查评价工作可参照执行。</w:t>
      </w:r>
    </w:p>
    <w:p>
      <w:pPr>
        <w:pStyle w:val="4"/>
        <w:keepNext w:val="0"/>
        <w:keepLines w:val="0"/>
        <w:pageBreakBefore w:val="0"/>
        <w:kinsoku/>
        <w:wordWrap/>
        <w:topLinePunct w:val="0"/>
        <w:bidi w:val="0"/>
        <w:adjustRightInd/>
        <w:snapToGrid/>
        <w:spacing w:line="560" w:lineRule="exact"/>
        <w:textAlignment w:val="auto"/>
        <w:rPr>
          <w:rFonts w:hint="eastAsia" w:ascii="楷体" w:hAnsi="楷体" w:eastAsia="楷体" w:cs="楷体"/>
          <w:sz w:val="32"/>
          <w:szCs w:val="32"/>
          <w:lang w:val="en-US" w:eastAsia="zh-CN"/>
        </w:rPr>
      </w:pPr>
      <w:bookmarkStart w:id="21" w:name="_Toc12927"/>
      <w:r>
        <w:rPr>
          <w:rFonts w:hint="eastAsia" w:ascii="楷体" w:hAnsi="楷体" w:eastAsia="楷体" w:cs="楷体"/>
          <w:sz w:val="32"/>
          <w:szCs w:val="32"/>
          <w:lang w:val="en-US" w:eastAsia="zh-CN"/>
        </w:rPr>
        <w:t>6.2 规范引用文件</w:t>
      </w:r>
      <w:bookmarkEnd w:id="21"/>
    </w:p>
    <w:p>
      <w:pPr>
        <w:pStyle w:val="74"/>
        <w:keepNext w:val="0"/>
        <w:keepLines w:val="0"/>
        <w:pageBreakBefore w:val="0"/>
        <w:kinsoku/>
        <w:wordWrap/>
        <w:topLinePunct w:val="0"/>
        <w:bidi w:val="0"/>
        <w:adjustRightInd/>
        <w:snapToGrid/>
        <w:spacing w:line="560" w:lineRule="exact"/>
        <w:textAlignment w:val="auto"/>
        <w:rPr>
          <w:rFonts w:hint="eastAsia" w:ascii="仿宋" w:hAnsi="仿宋" w:eastAsia="仿宋" w:cs="仿宋"/>
          <w:sz w:val="32"/>
          <w:szCs w:val="32"/>
          <w:highlight w:val="none"/>
        </w:rPr>
      </w:pPr>
      <w:bookmarkStart w:id="22" w:name="_Toc15932"/>
      <w:r>
        <w:rPr>
          <w:rFonts w:hint="eastAsia" w:ascii="仿宋" w:hAnsi="仿宋" w:eastAsia="仿宋" w:cs="仿宋"/>
          <w:color w:val="000000"/>
          <w:sz w:val="32"/>
          <w:szCs w:val="32"/>
          <w:highlight w:val="none"/>
        </w:rPr>
        <w:t>下列文件中的内容通过文中的规范性引用而构成本文件必不可少的条款。其中，注日期的引用文件，仅该日期对应的版本适用于本文件；不注日期的引用文件，其最新版本（包括</w:t>
      </w:r>
      <w:r>
        <w:rPr>
          <w:rFonts w:hint="eastAsia" w:ascii="仿宋" w:hAnsi="仿宋" w:eastAsia="仿宋" w:cs="仿宋"/>
          <w:sz w:val="32"/>
          <w:szCs w:val="32"/>
          <w:highlight w:val="none"/>
        </w:rPr>
        <w:t>所有的修改单）适用于本文件。</w:t>
      </w:r>
    </w:p>
    <w:p>
      <w:pPr>
        <w:pStyle w:val="74"/>
        <w:keepNext w:val="0"/>
        <w:keepLines w:val="0"/>
        <w:pageBreakBefore w:val="0"/>
        <w:kinsoku/>
        <w:wordWrap/>
        <w:topLinePunct w:val="0"/>
        <w:bidi w:val="0"/>
        <w:adjustRightInd/>
        <w:snapToGrid/>
        <w:spacing w:line="560" w:lineRule="exact"/>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GB 3838  地表水环境质量标准</w:t>
      </w:r>
    </w:p>
    <w:p>
      <w:pPr>
        <w:pStyle w:val="74"/>
        <w:keepNext w:val="0"/>
        <w:keepLines w:val="0"/>
        <w:pageBreakBefore w:val="0"/>
        <w:kinsoku/>
        <w:wordWrap/>
        <w:topLinePunct w:val="0"/>
        <w:bidi w:val="0"/>
        <w:adjustRightInd/>
        <w:snapToGrid/>
        <w:spacing w:line="560" w:lineRule="exact"/>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GB 5084</w:t>
      </w:r>
      <w:r>
        <w:rPr>
          <w:rFonts w:hint="eastAsia" w:ascii="仿宋" w:hAnsi="仿宋" w:eastAsia="仿宋" w:cs="仿宋"/>
          <w:color w:val="000000"/>
          <w:sz w:val="32"/>
          <w:szCs w:val="32"/>
          <w:highlight w:val="none"/>
          <w:lang w:val="en-US" w:eastAsia="zh-CN"/>
        </w:rPr>
        <w:t xml:space="preserve">  </w:t>
      </w:r>
      <w:r>
        <w:rPr>
          <w:rFonts w:hint="eastAsia" w:ascii="仿宋" w:hAnsi="仿宋" w:eastAsia="仿宋" w:cs="仿宋"/>
          <w:color w:val="000000"/>
          <w:sz w:val="32"/>
          <w:szCs w:val="32"/>
          <w:highlight w:val="none"/>
        </w:rPr>
        <w:t>农田灌溉水质标准</w:t>
      </w:r>
    </w:p>
    <w:p>
      <w:pPr>
        <w:pStyle w:val="74"/>
        <w:keepNext w:val="0"/>
        <w:keepLines w:val="0"/>
        <w:pageBreakBefore w:val="0"/>
        <w:kinsoku/>
        <w:wordWrap/>
        <w:topLinePunct w:val="0"/>
        <w:bidi w:val="0"/>
        <w:adjustRightInd/>
        <w:snapToGrid/>
        <w:spacing w:line="560" w:lineRule="exact"/>
        <w:textAlignment w:val="auto"/>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rPr>
        <w:t xml:space="preserve">GB </w:t>
      </w:r>
      <w:r>
        <w:rPr>
          <w:rFonts w:hint="eastAsia" w:ascii="仿宋" w:hAnsi="仿宋" w:eastAsia="仿宋" w:cs="仿宋"/>
          <w:color w:val="000000"/>
          <w:sz w:val="32"/>
          <w:szCs w:val="32"/>
          <w:highlight w:val="none"/>
          <w:lang w:val="en-US" w:eastAsia="zh-CN"/>
        </w:rPr>
        <w:t>8978</w:t>
      </w:r>
      <w:r>
        <w:rPr>
          <w:rFonts w:hint="eastAsia" w:ascii="仿宋" w:hAnsi="仿宋" w:eastAsia="仿宋" w:cs="仿宋"/>
          <w:color w:val="000000"/>
          <w:sz w:val="32"/>
          <w:szCs w:val="32"/>
          <w:highlight w:val="none"/>
        </w:rPr>
        <w:t xml:space="preserve">  </w:t>
      </w:r>
      <w:r>
        <w:rPr>
          <w:rFonts w:hint="eastAsia" w:ascii="仿宋" w:hAnsi="仿宋" w:eastAsia="仿宋" w:cs="仿宋"/>
          <w:color w:val="000000"/>
          <w:sz w:val="32"/>
          <w:szCs w:val="32"/>
          <w:highlight w:val="none"/>
          <w:lang w:val="en-US" w:eastAsia="zh-CN"/>
        </w:rPr>
        <w:t>污水综合排放标准</w:t>
      </w:r>
    </w:p>
    <w:p>
      <w:pPr>
        <w:pStyle w:val="74"/>
        <w:keepNext w:val="0"/>
        <w:keepLines w:val="0"/>
        <w:pageBreakBefore w:val="0"/>
        <w:kinsoku/>
        <w:wordWrap/>
        <w:topLinePunct w:val="0"/>
        <w:bidi w:val="0"/>
        <w:adjustRightInd/>
        <w:snapToGrid/>
        <w:spacing w:line="560" w:lineRule="exact"/>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GB/T 14848  地下水质量标准</w:t>
      </w:r>
    </w:p>
    <w:p>
      <w:pPr>
        <w:pStyle w:val="74"/>
        <w:keepNext w:val="0"/>
        <w:keepLines w:val="0"/>
        <w:pageBreakBefore w:val="0"/>
        <w:kinsoku/>
        <w:wordWrap/>
        <w:topLinePunct w:val="0"/>
        <w:bidi w:val="0"/>
        <w:adjustRightInd/>
        <w:snapToGrid/>
        <w:spacing w:line="560" w:lineRule="exact"/>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GB 15618 </w:t>
      </w:r>
      <w:r>
        <w:rPr>
          <w:rFonts w:hint="eastAsia" w:ascii="仿宋" w:hAnsi="仿宋" w:eastAsia="仿宋" w:cs="仿宋"/>
          <w:color w:val="000000"/>
          <w:sz w:val="32"/>
          <w:szCs w:val="32"/>
          <w:highlight w:val="none"/>
          <w:lang w:val="en-US" w:eastAsia="zh-CN"/>
        </w:rPr>
        <w:t xml:space="preserve"> </w:t>
      </w:r>
      <w:r>
        <w:rPr>
          <w:rFonts w:hint="eastAsia" w:ascii="仿宋" w:hAnsi="仿宋" w:eastAsia="仿宋" w:cs="仿宋"/>
          <w:color w:val="000000"/>
          <w:sz w:val="32"/>
          <w:szCs w:val="32"/>
          <w:highlight w:val="none"/>
        </w:rPr>
        <w:t>土壤环境质量 农用地土壤污染风险管控标准（试行）</w:t>
      </w:r>
    </w:p>
    <w:p>
      <w:pPr>
        <w:pStyle w:val="74"/>
        <w:keepNext w:val="0"/>
        <w:keepLines w:val="0"/>
        <w:pageBreakBefore w:val="0"/>
        <w:kinsoku/>
        <w:wordWrap/>
        <w:topLinePunct w:val="0"/>
        <w:bidi w:val="0"/>
        <w:adjustRightInd/>
        <w:snapToGrid/>
        <w:spacing w:line="560" w:lineRule="exact"/>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GB 36600 </w:t>
      </w:r>
      <w:r>
        <w:rPr>
          <w:rFonts w:hint="eastAsia" w:ascii="仿宋" w:hAnsi="仿宋" w:eastAsia="仿宋" w:cs="仿宋"/>
          <w:color w:val="000000"/>
          <w:sz w:val="32"/>
          <w:szCs w:val="32"/>
          <w:highlight w:val="none"/>
          <w:lang w:val="en-US" w:eastAsia="zh-CN"/>
        </w:rPr>
        <w:t xml:space="preserve"> </w:t>
      </w:r>
      <w:r>
        <w:rPr>
          <w:rFonts w:hint="eastAsia" w:ascii="仿宋" w:hAnsi="仿宋" w:eastAsia="仿宋" w:cs="仿宋"/>
          <w:color w:val="000000"/>
          <w:sz w:val="32"/>
          <w:szCs w:val="32"/>
          <w:highlight w:val="none"/>
        </w:rPr>
        <w:t>土壤环境质量 建设用地土壤污染风险管控标准（试行）</w:t>
      </w:r>
    </w:p>
    <w:p>
      <w:pPr>
        <w:pStyle w:val="74"/>
        <w:keepNext w:val="0"/>
        <w:keepLines w:val="0"/>
        <w:pageBreakBefore w:val="0"/>
        <w:kinsoku/>
        <w:wordWrap/>
        <w:topLinePunct w:val="0"/>
        <w:bidi w:val="0"/>
        <w:adjustRightInd/>
        <w:snapToGrid/>
        <w:spacing w:line="560" w:lineRule="exact"/>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HJ</w:t>
      </w:r>
      <w:r>
        <w:rPr>
          <w:rFonts w:hint="default" w:ascii="仿宋" w:hAnsi="仿宋" w:eastAsia="仿宋" w:cs="仿宋"/>
          <w:color w:val="000000"/>
          <w:sz w:val="32"/>
          <w:szCs w:val="32"/>
          <w:highlight w:val="none"/>
        </w:rPr>
        <w:t> 164</w:t>
      </w:r>
      <w:r>
        <w:rPr>
          <w:rFonts w:hint="eastAsia" w:ascii="仿宋" w:hAnsi="仿宋" w:eastAsia="仿宋" w:cs="仿宋"/>
          <w:color w:val="000000"/>
          <w:sz w:val="32"/>
          <w:szCs w:val="32"/>
          <w:highlight w:val="none"/>
          <w:lang w:val="en-US" w:eastAsia="zh-CN"/>
        </w:rPr>
        <w:t xml:space="preserve">  </w:t>
      </w:r>
      <w:r>
        <w:rPr>
          <w:rFonts w:hint="eastAsia" w:ascii="仿宋" w:hAnsi="仿宋" w:eastAsia="仿宋" w:cs="仿宋"/>
          <w:color w:val="000000"/>
          <w:sz w:val="32"/>
          <w:szCs w:val="32"/>
          <w:highlight w:val="none"/>
        </w:rPr>
        <w:t>　</w:t>
      </w:r>
      <w:r>
        <w:rPr>
          <w:rFonts w:hint="eastAsia" w:ascii="仿宋" w:hAnsi="仿宋" w:eastAsia="仿宋" w:cs="仿宋"/>
          <w:color w:val="000000"/>
          <w:sz w:val="32"/>
          <w:szCs w:val="32"/>
          <w:highlight w:val="none"/>
        </w:rPr>
        <w:fldChar w:fldCharType="begin"/>
      </w:r>
      <w:r>
        <w:rPr>
          <w:rFonts w:hint="eastAsia" w:ascii="仿宋" w:hAnsi="仿宋" w:eastAsia="仿宋" w:cs="仿宋"/>
          <w:color w:val="000000"/>
          <w:sz w:val="32"/>
          <w:szCs w:val="32"/>
          <w:highlight w:val="none"/>
        </w:rPr>
        <w:instrText xml:space="preserve"> HYPERLINK "https://www.mee.gov.cn/ywgz/fgbz/bz/bzwb/jcffbz/202012/W020201203608473632069.pdf" </w:instrText>
      </w:r>
      <w:r>
        <w:rPr>
          <w:rFonts w:hint="eastAsia" w:ascii="仿宋" w:hAnsi="仿宋" w:eastAsia="仿宋" w:cs="仿宋"/>
          <w:color w:val="000000"/>
          <w:sz w:val="32"/>
          <w:szCs w:val="32"/>
          <w:highlight w:val="none"/>
        </w:rPr>
        <w:fldChar w:fldCharType="separate"/>
      </w:r>
      <w:r>
        <w:rPr>
          <w:rFonts w:hint="eastAsia" w:ascii="仿宋" w:hAnsi="仿宋" w:eastAsia="仿宋" w:cs="仿宋"/>
          <w:color w:val="000000"/>
          <w:sz w:val="32"/>
          <w:szCs w:val="32"/>
          <w:highlight w:val="none"/>
        </w:rPr>
        <w:t>地下水环境监测技术规范</w:t>
      </w:r>
      <w:r>
        <w:rPr>
          <w:rFonts w:hint="eastAsia" w:ascii="仿宋" w:hAnsi="仿宋" w:eastAsia="仿宋" w:cs="仿宋"/>
          <w:color w:val="000000"/>
          <w:sz w:val="32"/>
          <w:szCs w:val="32"/>
          <w:highlight w:val="none"/>
        </w:rPr>
        <w:fldChar w:fldCharType="end"/>
      </w:r>
    </w:p>
    <w:p>
      <w:pPr>
        <w:pStyle w:val="74"/>
        <w:keepNext w:val="0"/>
        <w:keepLines w:val="0"/>
        <w:pageBreakBefore w:val="0"/>
        <w:kinsoku/>
        <w:wordWrap/>
        <w:topLinePunct w:val="0"/>
        <w:bidi w:val="0"/>
        <w:adjustRightInd/>
        <w:snapToGrid/>
        <w:spacing w:line="560" w:lineRule="exact"/>
        <w:textAlignment w:val="auto"/>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HJ/T</w:t>
      </w:r>
      <w:r>
        <w:rPr>
          <w:rFonts w:hint="default" w:ascii="仿宋" w:hAnsi="仿宋" w:eastAsia="仿宋" w:cs="仿宋"/>
          <w:color w:val="000000"/>
          <w:sz w:val="32"/>
          <w:szCs w:val="32"/>
          <w:highlight w:val="none"/>
          <w:lang w:val="en-US" w:eastAsia="zh-CN"/>
        </w:rPr>
        <w:t> 166</w:t>
      </w:r>
      <w:r>
        <w:rPr>
          <w:rFonts w:hint="eastAsia" w:ascii="仿宋" w:hAnsi="仿宋" w:eastAsia="仿宋" w:cs="仿宋"/>
          <w:color w:val="000000"/>
          <w:sz w:val="32"/>
          <w:szCs w:val="32"/>
          <w:highlight w:val="none"/>
          <w:lang w:val="en-US" w:eastAsia="zh-CN"/>
        </w:rPr>
        <w:t xml:space="preserve">  土壤环境监测技术规范</w:t>
      </w:r>
    </w:p>
    <w:p>
      <w:pPr>
        <w:pStyle w:val="74"/>
        <w:keepNext w:val="0"/>
        <w:keepLines w:val="0"/>
        <w:pageBreakBefore w:val="0"/>
        <w:kinsoku/>
        <w:wordWrap/>
        <w:topLinePunct w:val="0"/>
        <w:bidi w:val="0"/>
        <w:adjustRightInd/>
        <w:snapToGrid/>
        <w:spacing w:line="560" w:lineRule="exact"/>
        <w:textAlignment w:val="auto"/>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rPr>
        <w:t>HJ</w:t>
      </w:r>
      <w:r>
        <w:rPr>
          <w:rFonts w:hint="default" w:ascii="仿宋" w:hAnsi="仿宋" w:eastAsia="仿宋" w:cs="仿宋"/>
          <w:color w:val="000000"/>
          <w:sz w:val="32"/>
          <w:szCs w:val="32"/>
          <w:highlight w:val="none"/>
        </w:rPr>
        <w:t> </w:t>
      </w:r>
      <w:r>
        <w:rPr>
          <w:rFonts w:hint="eastAsia" w:ascii="仿宋" w:hAnsi="仿宋" w:eastAsia="仿宋" w:cs="仿宋"/>
          <w:color w:val="000000"/>
          <w:sz w:val="32"/>
          <w:szCs w:val="32"/>
          <w:highlight w:val="none"/>
          <w:lang w:val="en-US" w:eastAsia="zh-CN"/>
        </w:rPr>
        <w:t xml:space="preserve">494  </w:t>
      </w:r>
      <w:r>
        <w:rPr>
          <w:rFonts w:hint="eastAsia" w:ascii="仿宋" w:hAnsi="仿宋" w:eastAsia="仿宋" w:cs="仿宋"/>
          <w:color w:val="000000"/>
          <w:sz w:val="32"/>
          <w:szCs w:val="32"/>
          <w:highlight w:val="none"/>
        </w:rPr>
        <w:t>水质 采样技术指导</w:t>
      </w:r>
    </w:p>
    <w:p>
      <w:pPr>
        <w:pStyle w:val="74"/>
        <w:keepNext w:val="0"/>
        <w:keepLines w:val="0"/>
        <w:pageBreakBefore w:val="0"/>
        <w:kinsoku/>
        <w:wordWrap/>
        <w:topLinePunct w:val="0"/>
        <w:bidi w:val="0"/>
        <w:adjustRightInd/>
        <w:snapToGrid/>
        <w:spacing w:line="560" w:lineRule="exact"/>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DZ/T 0388  矿区地下水监测规范</w:t>
      </w:r>
    </w:p>
    <w:p>
      <w:pPr>
        <w:pStyle w:val="74"/>
        <w:keepNext w:val="0"/>
        <w:keepLines w:val="0"/>
        <w:pageBreakBefore w:val="0"/>
        <w:kinsoku/>
        <w:wordWrap/>
        <w:topLinePunct w:val="0"/>
        <w:bidi w:val="0"/>
        <w:adjustRightInd/>
        <w:snapToGrid/>
        <w:spacing w:line="560" w:lineRule="exact"/>
        <w:textAlignment w:val="auto"/>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DZ/T 0223  矿山地质环境保护与恢复治理方案编制规范</w:t>
      </w:r>
    </w:p>
    <w:p>
      <w:pPr>
        <w:pStyle w:val="4"/>
        <w:keepNext w:val="0"/>
        <w:keepLines w:val="0"/>
        <w:pageBreakBefore w:val="0"/>
        <w:kinsoku/>
        <w:wordWrap/>
        <w:topLinePunct w:val="0"/>
        <w:bidi w:val="0"/>
        <w:adjustRightInd/>
        <w:snapToGrid/>
        <w:spacing w:line="560" w:lineRule="exac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6.3 术语和定义</w:t>
      </w:r>
      <w:bookmarkEnd w:id="22"/>
    </w:p>
    <w:p>
      <w:pPr>
        <w:pageBreakBefore w:val="0"/>
        <w:widowControl/>
        <w:tabs>
          <w:tab w:val="center" w:pos="4201"/>
          <w:tab w:val="right" w:leader="dot" w:pos="9298"/>
        </w:tabs>
        <w:kinsoku/>
        <w:topLinePunct w:val="0"/>
        <w:autoSpaceDE w:val="0"/>
        <w:autoSpaceDN w:val="0"/>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起草组查阅大量我国涉金属矿产开发环境污染防治相关政策标准资料，对污染源及其对地表水、土壤、地下水影响方面的调查评价相关术语的解释进行了分析总结。经过详细论证，主要依据国家生态环境部发布的相关文件，在比较大量定义的基础上，给出本文件的定义。</w:t>
      </w:r>
    </w:p>
    <w:p>
      <w:pPr>
        <w:bidi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6.3.1 术语和定义中3.1和3.2是关于“矿山环境污染调查”和“矿山环境污染评价”的定义</w:t>
      </w:r>
    </w:p>
    <w:p>
      <w:pPr>
        <w:bidi w:val="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“矿山环境污染调查”和“矿山环境污染评价”定义均引自《矿山地质环境调查评价规范》（DD2014－05），因该标准不属于公权标准，故未列出。</w:t>
      </w:r>
    </w:p>
    <w:p>
      <w:pPr>
        <w:bidi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6.3.2 术语和定义中3.3关于“对照值”的定义</w:t>
      </w:r>
    </w:p>
    <w:p>
      <w:pPr>
        <w:bidi w:val="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定义引自《 地表水环境质量监测技术规范》（HJ 91.2-2022），有修改。</w:t>
      </w:r>
    </w:p>
    <w:p>
      <w:pPr>
        <w:pStyle w:val="4"/>
        <w:keepNext w:val="0"/>
        <w:keepLines w:val="0"/>
        <w:pageBreakBefore w:val="0"/>
        <w:shd w:val="clear"/>
        <w:kinsoku/>
        <w:wordWrap/>
        <w:overflowPunct/>
        <w:topLinePunct w:val="0"/>
        <w:bidi w:val="0"/>
        <w:adjustRightInd/>
        <w:snapToGrid/>
        <w:spacing w:line="560" w:lineRule="exact"/>
        <w:textAlignment w:val="auto"/>
        <w:rPr>
          <w:rFonts w:hint="eastAsia" w:ascii="楷体" w:hAnsi="楷体" w:eastAsia="楷体" w:cs="楷体"/>
          <w:sz w:val="32"/>
          <w:szCs w:val="32"/>
          <w:lang w:val="en-US" w:eastAsia="zh-CN"/>
        </w:rPr>
      </w:pPr>
      <w:bookmarkStart w:id="23" w:name="_Toc4436"/>
      <w:r>
        <w:rPr>
          <w:rFonts w:hint="eastAsia" w:ascii="楷体" w:hAnsi="楷体" w:eastAsia="楷体" w:cs="楷体"/>
          <w:sz w:val="32"/>
          <w:szCs w:val="32"/>
          <w:lang w:val="en-US" w:eastAsia="zh-CN"/>
        </w:rPr>
        <w:t>6.4 一般要求</w:t>
      </w:r>
      <w:bookmarkEnd w:id="20"/>
      <w:bookmarkEnd w:id="2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根据涉金属矿山环境污染调查评价目的，调查评价范围应包括矿权以及污染影响的范围，原则上以流域为单元开展调查评价工作。污染源调查主要</w:t>
      </w:r>
      <w:bookmarkStart w:id="24" w:name="_Hlk161309217"/>
      <w:r>
        <w:rPr>
          <w:rFonts w:hint="eastAsia" w:ascii="仿宋" w:hAnsi="仿宋" w:eastAsia="仿宋" w:cs="仿宋"/>
          <w:sz w:val="32"/>
          <w:szCs w:val="32"/>
          <w:lang w:val="en-US" w:eastAsia="zh-CN"/>
        </w:rPr>
        <w:t>以固体废物、废弃涌水矿硐、酸性废水等可能产生重金属环境污染的污染源为主。同时，调查评价工作应依据矿山地质环境背景、开采矿种、开采方式及规模、主要污染问题等特点，突出科学性和针对性，合理部署调查任务及工作手段。调查精度原则上以查清污染源现状、污染成因及影响范围为依据，对于调查区面积较小或污染情况复杂区域，可增加调查精度。应根据实际工作需求，开展调查区地质环境条件补充调查。</w:t>
      </w:r>
      <w:bookmarkStart w:id="25" w:name="_Toc344985020"/>
      <w:r>
        <w:rPr>
          <w:rFonts w:hint="eastAsia" w:ascii="仿宋" w:hAnsi="仿宋" w:eastAsia="仿宋" w:cs="仿宋"/>
          <w:sz w:val="32"/>
          <w:szCs w:val="32"/>
          <w:lang w:val="en-US" w:eastAsia="zh-CN"/>
        </w:rPr>
        <w:t>为确保涉金属矿山环境污染调查科学性、合理性，应编制调查方案并经审查通过后实施。</w:t>
      </w:r>
    </w:p>
    <w:bookmarkEnd w:id="24"/>
    <w:bookmarkEnd w:id="25"/>
    <w:p>
      <w:pPr>
        <w:pStyle w:val="4"/>
        <w:keepNext w:val="0"/>
        <w:keepLines w:val="0"/>
        <w:pageBreakBefore w:val="0"/>
        <w:kinsoku/>
        <w:wordWrap/>
        <w:topLinePunct w:val="0"/>
        <w:bidi w:val="0"/>
        <w:adjustRightInd/>
        <w:snapToGrid/>
        <w:spacing w:line="560" w:lineRule="exact"/>
        <w:textAlignment w:val="auto"/>
        <w:rPr>
          <w:rFonts w:hint="default" w:ascii="楷体" w:hAnsi="楷体" w:eastAsia="楷体" w:cs="楷体"/>
          <w:sz w:val="32"/>
          <w:szCs w:val="32"/>
          <w:lang w:val="en-US" w:eastAsia="zh-CN"/>
        </w:rPr>
      </w:pPr>
      <w:bookmarkStart w:id="26" w:name="_Toc9876"/>
      <w:bookmarkStart w:id="27" w:name="_Toc7034"/>
      <w:r>
        <w:rPr>
          <w:rFonts w:hint="eastAsia" w:ascii="楷体" w:hAnsi="楷体" w:eastAsia="楷体" w:cs="楷体"/>
          <w:sz w:val="32"/>
          <w:szCs w:val="32"/>
          <w:lang w:val="en-US" w:eastAsia="zh-CN"/>
        </w:rPr>
        <w:t>6.5 工作流程图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涉金属矿山环境污染调查评价工作流程图包括调查方案编写、矿区地质环境条件调查、污染源调查与评价、环境污染状况调查与评价、成果编制。</w:t>
      </w:r>
    </w:p>
    <w:p>
      <w:pPr>
        <w:pStyle w:val="4"/>
        <w:keepNext w:val="0"/>
        <w:keepLines w:val="0"/>
        <w:pageBreakBefore w:val="0"/>
        <w:kinsoku/>
        <w:wordWrap/>
        <w:topLinePunct w:val="0"/>
        <w:bidi w:val="0"/>
        <w:adjustRightInd/>
        <w:snapToGrid/>
        <w:spacing w:line="560" w:lineRule="exac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6.6 调查方案编写</w:t>
      </w:r>
      <w:bookmarkEnd w:id="26"/>
      <w:bookmarkEnd w:id="27"/>
    </w:p>
    <w:p>
      <w:pPr>
        <w:pStyle w:val="74"/>
        <w:pageBreakBefore w:val="0"/>
        <w:kinsoku/>
        <w:wordWrap/>
        <w:overflowPunct/>
        <w:topLinePunct w:val="0"/>
        <w:bidi w:val="0"/>
        <w:adjustRightInd/>
        <w:snapToGrid/>
        <w:spacing w:line="560" w:lineRule="exact"/>
        <w:ind w:firstLine="560"/>
        <w:textAlignment w:val="auto"/>
        <w:rPr>
          <w:rFonts w:hint="eastAsia" w:ascii="仿宋" w:hAnsi="仿宋" w:eastAsia="仿宋" w:cs="仿宋"/>
          <w:bCs/>
          <w:kern w:val="2"/>
          <w:sz w:val="32"/>
          <w:szCs w:val="32"/>
          <w:lang w:val="en-US" w:eastAsia="zh-CN" w:bidi="ar-SA"/>
        </w:rPr>
      </w:pPr>
      <w:bookmarkStart w:id="28" w:name="_Hlk161386264"/>
      <w:r>
        <w:rPr>
          <w:rFonts w:hint="eastAsia" w:ascii="仿宋" w:hAnsi="仿宋" w:eastAsia="仿宋" w:cs="仿宋"/>
          <w:bCs/>
          <w:kern w:val="2"/>
          <w:sz w:val="32"/>
          <w:szCs w:val="32"/>
          <w:lang w:val="en-US" w:eastAsia="zh-CN" w:bidi="ar-SA"/>
        </w:rPr>
        <w:t>在资料收集、野外踏勘基础上，基本掌握调查区主要矿山污染环境问题，编写调查方案。主要包括项目概况、调查区概况、区域环境污染概况、总体工作部署、主要工作量、预期成果、经费预算、保障措施等内容。</w:t>
      </w:r>
    </w:p>
    <w:bookmarkEnd w:id="28"/>
    <w:p>
      <w:pPr>
        <w:pStyle w:val="4"/>
        <w:keepNext w:val="0"/>
        <w:keepLines w:val="0"/>
        <w:pageBreakBefore w:val="0"/>
        <w:kinsoku/>
        <w:wordWrap/>
        <w:topLinePunct w:val="0"/>
        <w:bidi w:val="0"/>
        <w:adjustRightInd/>
        <w:snapToGrid/>
        <w:spacing w:line="560" w:lineRule="exact"/>
        <w:textAlignment w:val="auto"/>
        <w:rPr>
          <w:rFonts w:hint="eastAsia" w:ascii="楷体" w:hAnsi="楷体" w:eastAsia="楷体" w:cs="楷体"/>
          <w:sz w:val="32"/>
          <w:szCs w:val="32"/>
          <w:lang w:val="en-US" w:eastAsia="zh-CN"/>
        </w:rPr>
      </w:pPr>
      <w:bookmarkStart w:id="29" w:name="_Toc11768"/>
      <w:bookmarkStart w:id="30" w:name="_Toc9966"/>
      <w:r>
        <w:rPr>
          <w:rFonts w:hint="eastAsia" w:ascii="楷体" w:hAnsi="楷体" w:eastAsia="楷体" w:cs="楷体"/>
          <w:sz w:val="32"/>
          <w:szCs w:val="32"/>
          <w:lang w:val="en-US" w:eastAsia="zh-CN"/>
        </w:rPr>
        <w:t xml:space="preserve">6.7 </w:t>
      </w:r>
      <w:bookmarkStart w:id="31" w:name="_Toc5437"/>
      <w:bookmarkStart w:id="32" w:name="_Toc18783"/>
      <w:r>
        <w:rPr>
          <w:rFonts w:hint="eastAsia" w:ascii="楷体" w:hAnsi="楷体" w:eastAsia="楷体" w:cs="楷体"/>
          <w:sz w:val="32"/>
          <w:szCs w:val="32"/>
          <w:lang w:val="en-US" w:eastAsia="zh-CN"/>
        </w:rPr>
        <w:t>矿区地质环境条件调查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涉金属矿山环境污染调查工作前，应开展矿区地质环境条件调查，查明调查区原生地貌特征、地层岩性、水文地质单元及其特征，以及岩体结构及风化特征、岩体强度及形变特征、岩体抗风化及易溶蚀性特征、土体岩性类型及结构特征、地质灾害、土地利用现状、主要人类工程活动等相关情况。</w:t>
      </w:r>
    </w:p>
    <w:p>
      <w:pPr>
        <w:pStyle w:val="4"/>
        <w:keepNext w:val="0"/>
        <w:keepLines w:val="0"/>
        <w:pageBreakBefore w:val="0"/>
        <w:kinsoku/>
        <w:wordWrap/>
        <w:topLinePunct w:val="0"/>
        <w:bidi w:val="0"/>
        <w:adjustRightInd/>
        <w:snapToGrid/>
        <w:spacing w:line="560" w:lineRule="exact"/>
        <w:textAlignment w:val="auto"/>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6.8 污染源调查</w:t>
      </w:r>
      <w:bookmarkEnd w:id="29"/>
      <w:bookmarkEnd w:id="30"/>
      <w:bookmarkEnd w:id="31"/>
      <w:bookmarkEnd w:id="32"/>
      <w:r>
        <w:rPr>
          <w:rFonts w:hint="eastAsia" w:ascii="楷体" w:hAnsi="楷体" w:eastAsia="楷体" w:cs="楷体"/>
          <w:sz w:val="32"/>
          <w:szCs w:val="32"/>
          <w:lang w:val="en-US" w:eastAsia="zh-CN"/>
        </w:rPr>
        <w:t>与评价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主要包括固体废物、废弃矿硐及酸性废水调查与评价。</w:t>
      </w:r>
      <w:bookmarkStart w:id="33" w:name="_Toc25215"/>
      <w:bookmarkStart w:id="34" w:name="_Toc3119"/>
      <w:r>
        <w:rPr>
          <w:rFonts w:hint="eastAsia" w:ascii="仿宋" w:hAnsi="仿宋" w:eastAsia="仿宋" w:cs="仿宋"/>
          <w:sz w:val="32"/>
          <w:szCs w:val="32"/>
          <w:lang w:val="en-US" w:eastAsia="zh-CN"/>
        </w:rPr>
        <w:t>固体废物调查采用多种手段调查其分布、面积、形态、位置、堆积方式、稳定性及压占土地类型等信息，以及规模、渗流废水情况，初步查明水文地质特征。开展废渣等固体废物性质鉴定和重金属总量估算，调查现有防治措施及效果并提出综合治理初步建议。废弃矿硐调查主要开展矿硐基本特征、涌水情况、水文地质条件、硐口工程地质条件调查，对已封堵矿硐封堵成效进行初步调查。酸性废水主要调查其来源及主要成因、去向及处理方式、相关指标及产生量。调查过程中同时对上述固体废物、废弃矿硐及酸性废水已采取防治措施进行初步调查，未采防治措施的提出初步防治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固体废物污染源危害程度评价主要考虑堆存量、占地面积、污染负荷、地形坡度、充水因素、水浸pH、水浸重金属浓度等，废弃矿硐污染源危害程度评价主要考虑涌水类型、水质复杂程度、相对高程、构造复杂程度、涌水pH值等，酸性废水危害程度评价主要考虑pH值、超标因子数量及超标倍数等。固体废物和废弃矿硐具体评价方法按照《涉金属矿产开发环境污染防治技术规范 第4部分：分区风险评估及防控》执行，酸性废水污染源评价对照GB 8978、GB 3838进行评价。</w:t>
      </w:r>
    </w:p>
    <w:p>
      <w:pPr>
        <w:pStyle w:val="4"/>
        <w:keepNext w:val="0"/>
        <w:keepLines w:val="0"/>
        <w:pageBreakBefore w:val="0"/>
        <w:kinsoku/>
        <w:wordWrap/>
        <w:topLinePunct w:val="0"/>
        <w:bidi w:val="0"/>
        <w:adjustRightInd/>
        <w:snapToGrid/>
        <w:spacing w:line="560" w:lineRule="exac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6.</w:t>
      </w:r>
      <w:bookmarkStart w:id="35" w:name="_Toc32601"/>
      <w:bookmarkStart w:id="36" w:name="_Toc11638"/>
      <w:r>
        <w:rPr>
          <w:rFonts w:hint="eastAsia" w:ascii="楷体" w:hAnsi="楷体" w:eastAsia="楷体" w:cs="楷体"/>
          <w:sz w:val="32"/>
          <w:szCs w:val="32"/>
          <w:lang w:val="en-US" w:eastAsia="zh-CN"/>
        </w:rPr>
        <w:t>9 环境污染状况调查与评价</w:t>
      </w:r>
      <w:bookmarkEnd w:id="33"/>
      <w:bookmarkEnd w:id="34"/>
      <w:bookmarkEnd w:id="35"/>
      <w:bookmarkEnd w:id="36"/>
    </w:p>
    <w:p>
      <w:pPr>
        <w:pStyle w:val="6"/>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6.9.1地表水环境污染调查与评价</w:t>
      </w:r>
    </w:p>
    <w:p>
      <w:pPr>
        <w:pageBreakBefore w:val="0"/>
        <w:kinsoku/>
        <w:wordWrap/>
        <w:overflowPunct/>
        <w:topLinePunct w:val="0"/>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选取能反映流域（水系）或所在区域的水环境质量状况的调查点，根据实际需求设立背景断面、对照断面或控制断面，调查涉金属矿产开发特征污染物的水质</w:t>
      </w:r>
      <w:r>
        <w:rPr>
          <w:rFonts w:hint="eastAsia" w:ascii="仿宋" w:hAnsi="仿宋" w:eastAsia="仿宋" w:cs="仿宋"/>
          <w:sz w:val="32"/>
          <w:szCs w:val="32"/>
        </w:rPr>
        <w:t>指标。</w:t>
      </w:r>
      <w:r>
        <w:rPr>
          <w:rFonts w:hint="eastAsia" w:ascii="仿宋" w:hAnsi="仿宋" w:eastAsia="仿宋" w:cs="仿宋"/>
          <w:sz w:val="32"/>
          <w:szCs w:val="32"/>
          <w:lang w:val="en-US" w:eastAsia="zh-CN"/>
        </w:rPr>
        <w:t>依据区域区域规划与方案、GB 3838、对照值要求进行评价，采用单项污染指数法评价地表水污染程度。</w:t>
      </w:r>
    </w:p>
    <w:p>
      <w:pPr>
        <w:pStyle w:val="6"/>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b w:val="0"/>
          <w:bCs w:val="0"/>
          <w:lang w:val="en-US" w:eastAsia="zh-CN"/>
        </w:rPr>
      </w:pPr>
      <w:bookmarkStart w:id="37" w:name="_Toc14759"/>
      <w:bookmarkStart w:id="38" w:name="_Toc17180"/>
      <w:r>
        <w:rPr>
          <w:rFonts w:hint="eastAsia" w:ascii="仿宋_GB2312" w:hAnsi="仿宋_GB2312" w:eastAsia="仿宋_GB2312" w:cs="仿宋_GB2312"/>
          <w:b w:val="0"/>
          <w:bCs w:val="0"/>
          <w:lang w:val="en-US" w:eastAsia="zh-CN"/>
        </w:rPr>
        <w:t>6.9.2 土壤环境污染调查与评价</w:t>
      </w:r>
      <w:bookmarkEnd w:id="37"/>
      <w:bookmarkEnd w:id="38"/>
    </w:p>
    <w:p>
      <w:pPr>
        <w:pageBreakBefore w:val="0"/>
        <w:kinsoku/>
        <w:wordWrap/>
        <w:overflowPunct/>
        <w:topLinePunct w:val="0"/>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主要调查农用地、建设用地土壤重金属与矿业活动污染源的关系，以及现有的土壤污染保护与修复方式、面积、范围、措施及成效。依据GB 15618、GB 36600中土壤污染风险管控标准筛选值以及对照值标准，采用单因子污染指数法评价土壤污染程度。对存在多项污染物的点位，则计算多项污染物污染指数。</w:t>
      </w:r>
    </w:p>
    <w:p>
      <w:pPr>
        <w:pStyle w:val="6"/>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b w:val="0"/>
          <w:bCs w:val="0"/>
          <w:lang w:val="en-US" w:eastAsia="zh-CN"/>
        </w:rPr>
      </w:pPr>
      <w:bookmarkStart w:id="39" w:name="_Toc32083"/>
      <w:bookmarkStart w:id="40" w:name="_Toc19402"/>
      <w:r>
        <w:rPr>
          <w:rFonts w:hint="eastAsia" w:ascii="仿宋_GB2312" w:hAnsi="仿宋_GB2312" w:eastAsia="仿宋_GB2312" w:cs="仿宋_GB2312"/>
          <w:b w:val="0"/>
          <w:bCs w:val="0"/>
          <w:lang w:val="en-US" w:eastAsia="zh-CN"/>
        </w:rPr>
        <w:t>6.9.3 地下水环境污染调查与评价</w:t>
      </w:r>
      <w:bookmarkEnd w:id="39"/>
      <w:bookmarkEnd w:id="40"/>
    </w:p>
    <w:p>
      <w:pPr>
        <w:pageBreakBefore w:val="0"/>
        <w:kinsoku/>
        <w:wordWrap/>
        <w:overflowPunct/>
        <w:topLinePunct w:val="0"/>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选择以钻探方法及成井方法为主的地下水污染调查方法，初步查明污染源区地下水系统结构，分析场地地下水污染特征，分析污染成因。依据GB/T 14848标准限值以及对照值，采用单因子污染指数法法评价地下水污染程度。</w:t>
      </w:r>
    </w:p>
    <w:p>
      <w:pPr>
        <w:pStyle w:val="4"/>
        <w:keepNext w:val="0"/>
        <w:keepLines w:val="0"/>
        <w:pageBreakBefore w:val="0"/>
        <w:kinsoku/>
        <w:wordWrap/>
        <w:topLinePunct w:val="0"/>
        <w:bidi w:val="0"/>
        <w:adjustRightInd/>
        <w:snapToGrid/>
        <w:spacing w:line="560" w:lineRule="exact"/>
        <w:textAlignment w:val="auto"/>
        <w:rPr>
          <w:rFonts w:hint="eastAsia" w:ascii="楷体" w:hAnsi="楷体" w:eastAsia="楷体" w:cs="楷体"/>
          <w:sz w:val="32"/>
          <w:szCs w:val="32"/>
          <w:lang w:val="en-US" w:eastAsia="zh-CN"/>
        </w:rPr>
      </w:pPr>
      <w:bookmarkStart w:id="41" w:name="_Toc17634"/>
      <w:bookmarkStart w:id="42" w:name="_Toc8384"/>
      <w:r>
        <w:rPr>
          <w:rFonts w:hint="eastAsia" w:ascii="楷体" w:hAnsi="楷体" w:eastAsia="楷体" w:cs="楷体"/>
          <w:sz w:val="32"/>
          <w:szCs w:val="32"/>
          <w:lang w:val="en-US" w:eastAsia="zh-CN"/>
        </w:rPr>
        <w:t>10成果编制</w:t>
      </w:r>
      <w:bookmarkEnd w:id="41"/>
      <w:bookmarkEnd w:id="42"/>
    </w:p>
    <w:p>
      <w:pPr>
        <w:pStyle w:val="74"/>
        <w:pageBreakBefore w:val="0"/>
        <w:kinsoku/>
        <w:wordWrap/>
        <w:overflowPunct/>
        <w:topLinePunct w:val="0"/>
        <w:bidi w:val="0"/>
        <w:adjustRightInd/>
        <w:snapToGrid/>
        <w:spacing w:line="560" w:lineRule="exact"/>
        <w:ind w:firstLine="560"/>
        <w:textAlignment w:val="auto"/>
        <w:rPr>
          <w:rFonts w:hint="default"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成果包括报告、图件、数据集。</w:t>
      </w:r>
    </w:p>
    <w:p>
      <w:pPr>
        <w:keepNext/>
        <w:keepLines/>
        <w:pageBreakBefore w:val="0"/>
        <w:widowControl w:val="0"/>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kern w:val="44"/>
          <w:sz w:val="32"/>
          <w:szCs w:val="32"/>
        </w:rPr>
      </w:pPr>
      <w:bookmarkStart w:id="43" w:name="_Toc10276"/>
      <w:r>
        <w:rPr>
          <w:rFonts w:hint="eastAsia" w:ascii="黑体" w:hAnsi="黑体" w:eastAsia="黑体" w:cs="黑体"/>
          <w:b/>
          <w:bCs/>
          <w:kern w:val="44"/>
          <w:sz w:val="32"/>
          <w:szCs w:val="32"/>
        </w:rPr>
        <w:t xml:space="preserve">7 </w:t>
      </w:r>
      <w:r>
        <w:rPr>
          <w:rFonts w:hint="eastAsia" w:ascii="黑体" w:hAnsi="黑体" w:eastAsia="黑体" w:cs="黑体"/>
          <w:b/>
          <w:bCs/>
          <w:kern w:val="44"/>
          <w:sz w:val="32"/>
          <w:szCs w:val="32"/>
          <w:lang w:eastAsia="zh-CN"/>
        </w:rPr>
        <w:t>本文件</w:t>
      </w:r>
      <w:r>
        <w:rPr>
          <w:rFonts w:hint="eastAsia" w:ascii="黑体" w:hAnsi="黑体" w:eastAsia="黑体" w:cs="黑体"/>
          <w:b/>
          <w:bCs/>
          <w:kern w:val="44"/>
          <w:sz w:val="32"/>
          <w:szCs w:val="32"/>
        </w:rPr>
        <w:t>与国内相关标准的对比</w:t>
      </w:r>
      <w:bookmarkEnd w:id="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经</w:t>
      </w:r>
      <w:r>
        <w:rPr>
          <w:rFonts w:hint="eastAsia" w:ascii="仿宋" w:hAnsi="仿宋" w:eastAsia="仿宋" w:cs="仿宋"/>
          <w:sz w:val="32"/>
          <w:szCs w:val="32"/>
        </w:rPr>
        <w:t>查阅</w:t>
      </w:r>
      <w:r>
        <w:rPr>
          <w:rFonts w:hint="eastAsia" w:ascii="仿宋" w:hAnsi="仿宋" w:eastAsia="仿宋" w:cs="仿宋"/>
          <w:sz w:val="32"/>
          <w:szCs w:val="32"/>
          <w:lang w:eastAsia="zh-CN"/>
        </w:rPr>
        <w:t>，</w:t>
      </w:r>
      <w:r>
        <w:rPr>
          <w:rFonts w:hint="eastAsia" w:ascii="仿宋" w:hAnsi="仿宋" w:eastAsia="仿宋" w:cs="仿宋"/>
          <w:sz w:val="32"/>
          <w:szCs w:val="32"/>
        </w:rPr>
        <w:t>现行国家、行业、地方标准</w:t>
      </w:r>
      <w:r>
        <w:rPr>
          <w:rFonts w:hint="eastAsia" w:ascii="仿宋" w:hAnsi="仿宋" w:eastAsia="仿宋" w:cs="仿宋"/>
          <w:sz w:val="32"/>
          <w:szCs w:val="32"/>
          <w:lang w:val="en-US" w:eastAsia="zh-CN"/>
        </w:rPr>
        <w:t>中</w:t>
      </w:r>
      <w:r>
        <w:rPr>
          <w:rFonts w:hint="eastAsia" w:ascii="仿宋" w:hAnsi="仿宋" w:eastAsia="仿宋" w:cs="仿宋"/>
          <w:sz w:val="32"/>
          <w:szCs w:val="32"/>
        </w:rPr>
        <w:t>未出现</w:t>
      </w:r>
      <w:r>
        <w:rPr>
          <w:rFonts w:hint="eastAsia" w:ascii="仿宋" w:hAnsi="仿宋" w:eastAsia="仿宋" w:cs="仿宋"/>
          <w:sz w:val="32"/>
          <w:szCs w:val="32"/>
          <w:lang w:val="en-US" w:eastAsia="zh-CN"/>
        </w:rPr>
        <w:t>本文件</w:t>
      </w:r>
      <w:r>
        <w:rPr>
          <w:rFonts w:hint="eastAsia" w:ascii="仿宋" w:hAnsi="仿宋" w:eastAsia="仿宋" w:cs="仿宋"/>
          <w:sz w:val="32"/>
          <w:szCs w:val="32"/>
        </w:rPr>
        <w:t>内容与上述现行标准重复现象。涉及“重金属污染”、“矿山”</w:t>
      </w:r>
      <w:r>
        <w:rPr>
          <w:rFonts w:hint="eastAsia" w:ascii="仿宋" w:hAnsi="仿宋" w:eastAsia="仿宋" w:cs="仿宋"/>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val="en-US" w:eastAsia="zh-CN"/>
        </w:rPr>
        <w:t>环境</w:t>
      </w:r>
      <w:r>
        <w:rPr>
          <w:rFonts w:hint="eastAsia" w:ascii="仿宋" w:hAnsi="仿宋" w:eastAsia="仿宋" w:cs="仿宋"/>
          <w:sz w:val="32"/>
          <w:szCs w:val="32"/>
        </w:rPr>
        <w:t>污染调查</w:t>
      </w:r>
      <w:r>
        <w:rPr>
          <w:rFonts w:hint="eastAsia" w:ascii="仿宋" w:hAnsi="仿宋" w:eastAsia="仿宋" w:cs="仿宋"/>
          <w:sz w:val="32"/>
          <w:szCs w:val="32"/>
          <w:lang w:val="en-US" w:eastAsia="zh-CN"/>
        </w:rPr>
        <w:t>评价</w:t>
      </w:r>
      <w:r>
        <w:rPr>
          <w:rFonts w:hint="eastAsia" w:ascii="仿宋" w:hAnsi="仿宋" w:eastAsia="仿宋" w:cs="仿宋"/>
          <w:sz w:val="32"/>
          <w:szCs w:val="32"/>
        </w:rPr>
        <w:t>”等相关标准有</w:t>
      </w:r>
      <w:r>
        <w:rPr>
          <w:rFonts w:hint="eastAsia" w:ascii="仿宋" w:hAnsi="仿宋" w:eastAsia="仿宋" w:cs="仿宋"/>
          <w:sz w:val="32"/>
          <w:szCs w:val="32"/>
          <w:lang w:val="en-US" w:eastAsia="zh-CN"/>
        </w:rPr>
        <w:t>10</w:t>
      </w:r>
      <w:r>
        <w:rPr>
          <w:rFonts w:hint="eastAsia" w:ascii="仿宋" w:hAnsi="仿宋" w:eastAsia="仿宋" w:cs="仿宋"/>
          <w:sz w:val="32"/>
          <w:szCs w:val="32"/>
        </w:rPr>
        <w:t>项，其中生态环境部门相关行业标准</w:t>
      </w:r>
      <w:r>
        <w:rPr>
          <w:rFonts w:hint="eastAsia" w:ascii="仿宋" w:hAnsi="仿宋" w:eastAsia="仿宋" w:cs="仿宋"/>
          <w:sz w:val="32"/>
          <w:szCs w:val="32"/>
          <w:lang w:val="en-US" w:eastAsia="zh-CN"/>
        </w:rPr>
        <w:t>5</w:t>
      </w:r>
      <w:r>
        <w:rPr>
          <w:rFonts w:hint="eastAsia" w:ascii="仿宋" w:hAnsi="仿宋" w:eastAsia="仿宋" w:cs="仿宋"/>
          <w:sz w:val="32"/>
          <w:szCs w:val="32"/>
        </w:rPr>
        <w:t>项，自然资源部门相关行业标准5项</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该些</w:t>
      </w:r>
      <w:r>
        <w:rPr>
          <w:rFonts w:hint="eastAsia" w:ascii="仿宋" w:hAnsi="仿宋" w:eastAsia="仿宋" w:cs="仿宋"/>
          <w:sz w:val="32"/>
          <w:szCs w:val="32"/>
        </w:rPr>
        <w:t>标准都有不同的侧重点和局限性，不能满足我省</w:t>
      </w:r>
      <w:r>
        <w:rPr>
          <w:rFonts w:hint="eastAsia" w:ascii="仿宋" w:hAnsi="仿宋" w:eastAsia="仿宋" w:cs="仿宋"/>
          <w:sz w:val="32"/>
          <w:szCs w:val="32"/>
          <w:lang w:eastAsia="zh-CN"/>
        </w:rPr>
        <w:t>涉金属矿产开发</w:t>
      </w:r>
      <w:r>
        <w:rPr>
          <w:rFonts w:hint="eastAsia" w:ascii="仿宋" w:hAnsi="仿宋" w:eastAsia="仿宋" w:cs="仿宋"/>
          <w:sz w:val="32"/>
          <w:szCs w:val="32"/>
        </w:rPr>
        <w:t>环境污染调查</w:t>
      </w:r>
      <w:r>
        <w:rPr>
          <w:rFonts w:hint="eastAsia" w:ascii="仿宋" w:hAnsi="仿宋" w:eastAsia="仿宋" w:cs="仿宋"/>
          <w:sz w:val="32"/>
          <w:szCs w:val="32"/>
          <w:lang w:val="en-US" w:eastAsia="zh-CN"/>
        </w:rPr>
        <w:t>评价</w:t>
      </w:r>
      <w:r>
        <w:rPr>
          <w:rFonts w:hint="eastAsia" w:ascii="仿宋" w:hAnsi="仿宋" w:eastAsia="仿宋" w:cs="仿宋"/>
          <w:sz w:val="32"/>
          <w:szCs w:val="32"/>
        </w:rPr>
        <w:t>的</w:t>
      </w:r>
      <w:r>
        <w:rPr>
          <w:rFonts w:hint="eastAsia" w:ascii="仿宋" w:hAnsi="仿宋" w:eastAsia="仿宋" w:cs="仿宋"/>
          <w:sz w:val="32"/>
          <w:szCs w:val="32"/>
          <w:lang w:val="en-US" w:eastAsia="zh-CN"/>
        </w:rPr>
        <w:t>需求。其中，</w:t>
      </w:r>
      <w:r>
        <w:rPr>
          <w:rFonts w:hint="eastAsia" w:ascii="仿宋" w:hAnsi="仿宋" w:eastAsia="仿宋" w:cs="仿宋"/>
          <w:sz w:val="32"/>
          <w:szCs w:val="32"/>
          <w:lang w:eastAsia="zh-CN"/>
        </w:rPr>
        <w:t>《</w:t>
      </w:r>
      <w:r>
        <w:rPr>
          <w:rFonts w:hint="eastAsia" w:ascii="仿宋" w:hAnsi="仿宋" w:eastAsia="仿宋" w:cs="仿宋"/>
          <w:sz w:val="32"/>
          <w:szCs w:val="32"/>
        </w:rPr>
        <w:t>区域生态地球化学评价规范</w:t>
      </w:r>
      <w:r>
        <w:rPr>
          <w:rFonts w:hint="eastAsia" w:ascii="仿宋" w:hAnsi="仿宋" w:eastAsia="仿宋" w:cs="仿宋"/>
          <w:sz w:val="32"/>
          <w:szCs w:val="32"/>
          <w:lang w:eastAsia="zh-CN"/>
        </w:rPr>
        <w:t>》</w:t>
      </w:r>
      <w:r>
        <w:rPr>
          <w:rFonts w:hint="eastAsia" w:ascii="仿宋" w:hAnsi="仿宋" w:eastAsia="仿宋" w:cs="仿宋"/>
          <w:sz w:val="32"/>
          <w:szCs w:val="32"/>
        </w:rPr>
        <w:t>（DZ/T 0289-2015）适用于农田、河流、城市、湖泊湿地、浅海、矿山、森林、草原等不同生态系统开展区域生态地球化学评价工作,其他类似工作可参照执行</w:t>
      </w:r>
      <w:r>
        <w:rPr>
          <w:rFonts w:hint="eastAsia" w:ascii="仿宋" w:hAnsi="仿宋" w:eastAsia="仿宋" w:cs="仿宋"/>
          <w:sz w:val="32"/>
          <w:szCs w:val="32"/>
          <w:lang w:val="en-US" w:eastAsia="zh-CN"/>
        </w:rPr>
        <w:t>。《</w:t>
      </w:r>
      <w:r>
        <w:rPr>
          <w:rFonts w:hint="eastAsia" w:ascii="仿宋" w:hAnsi="仿宋" w:eastAsia="仿宋" w:cs="仿宋"/>
          <w:sz w:val="32"/>
          <w:szCs w:val="32"/>
        </w:rPr>
        <w:t>局部生态地球化学评价规范</w:t>
      </w:r>
      <w:r>
        <w:rPr>
          <w:rFonts w:hint="eastAsia" w:ascii="仿宋" w:hAnsi="仿宋" w:eastAsia="仿宋" w:cs="仿宋"/>
          <w:sz w:val="32"/>
          <w:szCs w:val="32"/>
          <w:lang w:val="en-US" w:eastAsia="zh-CN"/>
        </w:rPr>
        <w:t>》</w:t>
      </w:r>
      <w:r>
        <w:rPr>
          <w:rFonts w:hint="eastAsia" w:ascii="仿宋" w:hAnsi="仿宋" w:eastAsia="仿宋" w:cs="仿宋"/>
          <w:sz w:val="32"/>
          <w:szCs w:val="32"/>
        </w:rPr>
        <w:t>（DZ/T 0354-2020）适用于矿区、污染场地、名特优农产品产地、富硒农产品产地、绿色食品产地和地方病病区的生态地球化学评价，其他类似工作可参照执行。</w:t>
      </w:r>
      <w:r>
        <w:rPr>
          <w:rFonts w:hint="eastAsia" w:ascii="仿宋" w:hAnsi="仿宋" w:eastAsia="仿宋" w:cs="仿宋"/>
          <w:sz w:val="32"/>
          <w:szCs w:val="32"/>
          <w:lang w:eastAsia="zh-CN"/>
        </w:rPr>
        <w:t>《</w:t>
      </w:r>
      <w:r>
        <w:rPr>
          <w:rFonts w:hint="eastAsia" w:ascii="仿宋" w:hAnsi="仿宋" w:eastAsia="仿宋" w:cs="仿宋"/>
          <w:sz w:val="32"/>
          <w:szCs w:val="32"/>
        </w:rPr>
        <w:t>地球化学详查规范</w:t>
      </w:r>
      <w:r>
        <w:rPr>
          <w:rFonts w:hint="eastAsia" w:ascii="仿宋" w:hAnsi="仿宋" w:eastAsia="仿宋" w:cs="仿宋"/>
          <w:sz w:val="32"/>
          <w:szCs w:val="32"/>
          <w:lang w:eastAsia="zh-CN"/>
        </w:rPr>
        <w:t>》</w:t>
      </w:r>
      <w:r>
        <w:rPr>
          <w:rFonts w:hint="eastAsia" w:ascii="仿宋" w:hAnsi="仿宋" w:eastAsia="仿宋" w:cs="仿宋"/>
          <w:sz w:val="32"/>
          <w:szCs w:val="32"/>
        </w:rPr>
        <w:t>（DZ/T 0353-2020）适用于1:100001:5000地球化学测量及矿区地球化学勘查工作。</w:t>
      </w:r>
      <w:r>
        <w:rPr>
          <w:rFonts w:hint="eastAsia" w:ascii="仿宋" w:hAnsi="仿宋" w:eastAsia="仿宋" w:cs="仿宋"/>
          <w:sz w:val="32"/>
          <w:szCs w:val="32"/>
          <w:lang w:eastAsia="zh-CN"/>
        </w:rPr>
        <w:t>《</w:t>
      </w:r>
      <w:r>
        <w:rPr>
          <w:rFonts w:hint="eastAsia" w:ascii="仿宋" w:hAnsi="仿宋" w:eastAsia="仿宋" w:cs="仿宋"/>
          <w:sz w:val="32"/>
          <w:szCs w:val="32"/>
        </w:rPr>
        <w:t>土地整治项目基础调查规范</w:t>
      </w:r>
      <w:r>
        <w:rPr>
          <w:rFonts w:hint="eastAsia" w:ascii="仿宋" w:hAnsi="仿宋" w:eastAsia="仿宋" w:cs="仿宋"/>
          <w:sz w:val="32"/>
          <w:szCs w:val="32"/>
          <w:lang w:eastAsia="zh-CN"/>
        </w:rPr>
        <w:t>》适用于农用地整治、未利用地开发和自然灾害损毁土地复垦等项目可行性研究和规划设计成果编制中的基础调查工作。《区域地下水污染调查评价规范》适用于1:50 000～1:250 000区域地下水污染调查评价工作,其他比例尺的调查评价工作可参照使用。《生态环境损害鉴定评估技术指南》适用于因环境污染或生态破坏导致的涉及土壤与地下水的生态环境损害鉴定评估。《地下水环境状况调查评价工作指南》（环办土壤函〔2019〕770 号）适用于集中式地下水型饮用水源以及工业污染源、矿山开采区、危险废物处置场、垃圾填埋场等污染源及周边的地下水环境状况调查评价，可供分散式地下水型饮用水源和其他污染源地下水环境调查评价参考。</w:t>
      </w:r>
      <w:r>
        <w:rPr>
          <w:rFonts w:hint="eastAsia" w:ascii="仿宋" w:hAnsi="仿宋" w:eastAsia="仿宋" w:cs="仿宋"/>
          <w:sz w:val="32"/>
          <w:szCs w:val="32"/>
        </w:rPr>
        <w:t>《工业企业场地环境调查评估与修复工作指南（试行）》适用于工业企业场地的环境调查、风险评估、治理修复、修复环境监理、修复验收和后期管理工作。《建设用地土壤污染状况调查技术导则》（HJ25.1-2019）适用于建设用地土壤污染状况调查，为建设用地土壤污染风险管控和修复提供基础数据和信息。</w:t>
      </w:r>
      <w:r>
        <w:rPr>
          <w:rFonts w:hint="eastAsia" w:ascii="仿宋" w:hAnsi="仿宋" w:eastAsia="仿宋" w:cs="仿宋"/>
          <w:sz w:val="32"/>
          <w:szCs w:val="32"/>
          <w:lang w:val="en-US" w:eastAsia="zh-CN"/>
        </w:rPr>
        <w:t>上述标准均</w:t>
      </w:r>
      <w:r>
        <w:rPr>
          <w:rFonts w:hint="eastAsia" w:ascii="仿宋" w:hAnsi="仿宋" w:eastAsia="仿宋" w:cs="仿宋"/>
          <w:sz w:val="32"/>
          <w:szCs w:val="32"/>
        </w:rPr>
        <w:t>不涉及</w:t>
      </w:r>
      <w:r>
        <w:rPr>
          <w:rFonts w:hint="eastAsia" w:ascii="仿宋" w:hAnsi="仿宋" w:eastAsia="仿宋" w:cs="仿宋"/>
          <w:sz w:val="32"/>
          <w:szCs w:val="32"/>
          <w:lang w:eastAsia="zh-CN"/>
        </w:rPr>
        <w:t>涉金属矿产开发。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宋体" w:hAnsi="宋体"/>
          <w:sz w:val="32"/>
          <w:szCs w:val="32"/>
        </w:rPr>
      </w:pPr>
      <w:r>
        <w:rPr>
          <w:rFonts w:hint="eastAsia" w:ascii="仿宋" w:hAnsi="仿宋" w:eastAsia="仿宋" w:cs="仿宋"/>
          <w:sz w:val="32"/>
          <w:szCs w:val="32"/>
          <w:lang w:eastAsia="zh-CN"/>
        </w:rPr>
        <w:t>本文件</w:t>
      </w:r>
      <w:r>
        <w:rPr>
          <w:rFonts w:hint="eastAsia" w:ascii="仿宋" w:hAnsi="仿宋" w:eastAsia="仿宋" w:cs="仿宋"/>
          <w:sz w:val="32"/>
          <w:szCs w:val="32"/>
        </w:rPr>
        <w:t>主要</w:t>
      </w:r>
      <w:r>
        <w:rPr>
          <w:rFonts w:hint="eastAsia" w:ascii="仿宋" w:hAnsi="仿宋" w:eastAsia="仿宋" w:cs="仿宋"/>
          <w:sz w:val="32"/>
          <w:szCs w:val="32"/>
          <w:lang w:val="en-US" w:eastAsia="zh-CN"/>
        </w:rPr>
        <w:t>适用</w:t>
      </w:r>
      <w:r>
        <w:rPr>
          <w:rFonts w:hint="eastAsia" w:ascii="仿宋" w:hAnsi="仿宋" w:eastAsia="仿宋" w:cs="仿宋"/>
          <w:sz w:val="32"/>
          <w:szCs w:val="32"/>
        </w:rPr>
        <w:t>于</w:t>
      </w:r>
      <w:r>
        <w:rPr>
          <w:rFonts w:hint="eastAsia" w:ascii="仿宋" w:hAnsi="仿宋" w:eastAsia="仿宋" w:cs="仿宋"/>
          <w:sz w:val="32"/>
          <w:szCs w:val="32"/>
          <w:lang w:val="en-US" w:eastAsia="zh-CN"/>
        </w:rPr>
        <w:t>涉金属污染类的矿山环境污染调查评价工作</w:t>
      </w:r>
      <w:r>
        <w:rPr>
          <w:rFonts w:hint="eastAsia" w:ascii="仿宋" w:hAnsi="仿宋" w:eastAsia="仿宋" w:cs="仿宋"/>
          <w:sz w:val="32"/>
          <w:szCs w:val="32"/>
        </w:rPr>
        <w:t>。</w:t>
      </w:r>
    </w:p>
    <w:p>
      <w:pPr>
        <w:keepNext/>
        <w:keepLines/>
        <w:pageBreakBefore w:val="0"/>
        <w:widowControl w:val="0"/>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kern w:val="44"/>
          <w:sz w:val="32"/>
          <w:szCs w:val="32"/>
        </w:rPr>
      </w:pPr>
      <w:bookmarkStart w:id="44" w:name="_Toc15081"/>
      <w:r>
        <w:rPr>
          <w:rFonts w:hint="eastAsia" w:ascii="黑体" w:hAnsi="黑体" w:eastAsia="黑体" w:cs="黑体"/>
          <w:b/>
          <w:bCs/>
          <w:kern w:val="44"/>
          <w:sz w:val="32"/>
          <w:szCs w:val="32"/>
        </w:rPr>
        <w:t>8 知识产权说明</w:t>
      </w:r>
      <w:bookmarkEnd w:id="4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无。</w:t>
      </w:r>
    </w:p>
    <w:p>
      <w:pPr>
        <w:keepNext/>
        <w:keepLines/>
        <w:pageBreakBefore w:val="0"/>
        <w:widowControl w:val="0"/>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kern w:val="44"/>
          <w:sz w:val="32"/>
          <w:szCs w:val="32"/>
        </w:rPr>
      </w:pPr>
      <w:bookmarkStart w:id="45" w:name="_Toc5225"/>
      <w:r>
        <w:rPr>
          <w:rFonts w:hint="eastAsia" w:ascii="黑体" w:hAnsi="黑体" w:eastAsia="黑体" w:cs="黑体"/>
          <w:b/>
          <w:bCs/>
          <w:kern w:val="44"/>
          <w:sz w:val="32"/>
          <w:szCs w:val="32"/>
        </w:rPr>
        <w:t>9 重大意见分歧的处理</w:t>
      </w:r>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无。</w:t>
      </w:r>
    </w:p>
    <w:p>
      <w:pPr>
        <w:keepNext/>
        <w:keepLines/>
        <w:pageBreakBefore w:val="0"/>
        <w:widowControl w:val="0"/>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kern w:val="44"/>
          <w:sz w:val="32"/>
          <w:szCs w:val="32"/>
        </w:rPr>
      </w:pPr>
      <w:bookmarkStart w:id="46" w:name="_Toc15405"/>
      <w:r>
        <w:rPr>
          <w:rFonts w:hint="eastAsia" w:ascii="黑体" w:hAnsi="黑体" w:eastAsia="黑体" w:cs="黑体"/>
          <w:b/>
          <w:bCs/>
          <w:kern w:val="44"/>
          <w:sz w:val="32"/>
          <w:szCs w:val="32"/>
        </w:rPr>
        <w:t>10 其他应说明的事项</w:t>
      </w:r>
      <w:bookmarkEnd w:id="4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无。</w:t>
      </w:r>
    </w:p>
    <w:sectPr>
      <w:footerReference r:id="rId7" w:type="default"/>
      <w:pgSz w:w="11906" w:h="16838"/>
      <w:pgMar w:top="1440" w:right="1797" w:bottom="1440" w:left="1797" w:header="851" w:footer="992" w:gutter="0"/>
      <w:pgNumType w:start="1"/>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3387573"/>
      <w:docPartObj>
        <w:docPartGallery w:val="autotext"/>
      </w:docPartObj>
    </w:sdtPr>
    <w:sdtContent>
      <w:p>
        <w:pPr>
          <w:pStyle w:val="23"/>
          <w:jc w:val="center"/>
        </w:pPr>
        <w:r>
          <w:fldChar w:fldCharType="begin"/>
        </w:r>
        <w:r>
          <w:instrText xml:space="preserve">PAGE   \* MERGEFORMAT</w:instrText>
        </w:r>
        <w:r>
          <w:fldChar w:fldCharType="separate"/>
        </w:r>
        <w:r>
          <w:rPr>
            <w:lang w:val="zh-CN"/>
          </w:rPr>
          <w:t>I</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8692200"/>
      <w:docPartObj>
        <w:docPartGallery w:val="autotext"/>
      </w:docPartObj>
    </w:sdtPr>
    <w:sdtContent>
      <w:p>
        <w:pPr>
          <w:pStyle w:val="23"/>
          <w:jc w:val="center"/>
        </w:pPr>
        <w:r>
          <w:fldChar w:fldCharType="begin"/>
        </w:r>
        <w:r>
          <w:instrText xml:space="preserve">PAGE   \* MERGEFORMAT</w:instrText>
        </w:r>
        <w:r>
          <w:fldChar w:fldCharType="separate"/>
        </w:r>
        <w:r>
          <w:rPr>
            <w:lang w:val="zh-CN"/>
          </w:rPr>
          <w:t>1</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0" w:line="360" w:lineRule="auto"/>
      <w:ind w:left="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rPr>
      <w:t>25</w:t>
    </w:r>
    <w:r>
      <w:rPr>
        <w:sz w:val="20"/>
        <w:szCs w:val="20"/>
      </w:rPr>
      <w:fldChar w:fldCharType="end"/>
    </w: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E2B46"/>
    <w:multiLevelType w:val="multilevel"/>
    <w:tmpl w:val="0DDE2B46"/>
    <w:lvl w:ilvl="0" w:tentative="0">
      <w:start w:val="1"/>
      <w:numFmt w:val="lowerLetter"/>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
    <w:nsid w:val="1FC91163"/>
    <w:multiLevelType w:val="multilevel"/>
    <w:tmpl w:val="1FC91163"/>
    <w:lvl w:ilvl="0" w:tentative="0">
      <w:start w:val="1"/>
      <w:numFmt w:val="decimal"/>
      <w:suff w:val="nothing"/>
      <w:lvlText w:val="%1　"/>
      <w:lvlJc w:val="left"/>
      <w:pPr>
        <w:ind w:left="0"/>
      </w:pPr>
      <w:rPr>
        <w:rFonts w:hint="eastAsia" w:ascii="黑体" w:hAnsi="Times New Roman" w:eastAsia="黑体"/>
        <w:b w:val="0"/>
        <w:bCs w:val="0"/>
        <w:i w:val="0"/>
        <w:iCs w:val="0"/>
        <w:sz w:val="21"/>
        <w:szCs w:val="21"/>
      </w:rPr>
    </w:lvl>
    <w:lvl w:ilvl="1" w:tentative="0">
      <w:start w:val="1"/>
      <w:numFmt w:val="decimal"/>
      <w:pStyle w:val="80"/>
      <w:suff w:val="nothing"/>
      <w:lvlText w:val="%1.%2　"/>
      <w:lvlJc w:val="left"/>
      <w:pPr>
        <w:ind w:left="0"/>
      </w:pPr>
      <w:rPr>
        <w:rFonts w:hint="eastAsia" w:ascii="黑体" w:hAnsi="Times New Roman" w:eastAsia="黑体"/>
        <w:b w:val="0"/>
        <w:bCs w:val="0"/>
        <w:i w:val="0"/>
        <w:iCs w:val="0"/>
        <w:caps w:val="0"/>
        <w:strike w:val="0"/>
        <w:dstrike w:val="0"/>
        <w:vanish w:val="0"/>
        <w:spacing w:val="0"/>
        <w:kern w:val="0"/>
        <w:position w:val="0"/>
        <w:sz w:val="21"/>
        <w:szCs w:val="21"/>
        <w:u w:val="none"/>
        <w:vertAlign w:val="baseline"/>
      </w:rPr>
    </w:lvl>
    <w:lvl w:ilvl="2" w:tentative="0">
      <w:start w:val="1"/>
      <w:numFmt w:val="decimal"/>
      <w:pStyle w:val="79"/>
      <w:suff w:val="nothing"/>
      <w:lvlText w:val="%1.%2.%3　"/>
      <w:lvlJc w:val="left"/>
      <w:rPr>
        <w:rFonts w:hint="eastAsia" w:ascii="黑体" w:hAnsi="Times New Roman" w:eastAsia="黑体"/>
        <w:b w:val="0"/>
        <w:bCs w:val="0"/>
        <w:i w:val="0"/>
        <w:iCs w:val="0"/>
        <w:color w:val="auto"/>
        <w:sz w:val="21"/>
        <w:szCs w:val="21"/>
      </w:rPr>
    </w:lvl>
    <w:lvl w:ilvl="3" w:tentative="0">
      <w:start w:val="1"/>
      <w:numFmt w:val="decimal"/>
      <w:suff w:val="nothing"/>
      <w:lvlText w:val="%1.%2.%3.%4　"/>
      <w:lvlJc w:val="left"/>
      <w:pPr>
        <w:ind w:left="426"/>
      </w:pPr>
      <w:rPr>
        <w:rFonts w:hint="eastAsia" w:ascii="黑体" w:hAnsi="Times New Roman" w:eastAsia="黑体"/>
        <w:b w:val="0"/>
        <w:bCs w:val="0"/>
        <w:i w:val="0"/>
        <w:iCs w:val="0"/>
        <w:sz w:val="21"/>
        <w:szCs w:val="21"/>
      </w:rPr>
    </w:lvl>
    <w:lvl w:ilvl="4" w:tentative="0">
      <w:start w:val="1"/>
      <w:numFmt w:val="decimal"/>
      <w:suff w:val="nothing"/>
      <w:lvlText w:val="%1.%2.%3.%4.%5　"/>
      <w:lvlJc w:val="left"/>
      <w:rPr>
        <w:rFonts w:hint="eastAsia" w:ascii="黑体" w:hAnsi="Times New Roman" w:eastAsia="黑体"/>
        <w:b w:val="0"/>
        <w:bCs w:val="0"/>
        <w:i w:val="0"/>
        <w:iCs w:val="0"/>
        <w:sz w:val="21"/>
        <w:szCs w:val="21"/>
      </w:rPr>
    </w:lvl>
    <w:lvl w:ilvl="5" w:tentative="0">
      <w:start w:val="1"/>
      <w:numFmt w:val="decimal"/>
      <w:suff w:val="nothing"/>
      <w:lvlText w:val="%1.%2.%3.%4.%5.%6　"/>
      <w:lvlJc w:val="left"/>
      <w:rPr>
        <w:rFonts w:hint="eastAsia" w:ascii="黑体" w:hAnsi="Times New Roman" w:eastAsia="黑体"/>
        <w:b w:val="0"/>
        <w:bCs w:val="0"/>
        <w:i w:val="0"/>
        <w:iCs w:val="0"/>
        <w:sz w:val="21"/>
        <w:szCs w:val="21"/>
      </w:rPr>
    </w:lvl>
    <w:lvl w:ilvl="6" w:tentative="0">
      <w:start w:val="1"/>
      <w:numFmt w:val="decimal"/>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0A"/>
    <w:rsid w:val="00000552"/>
    <w:rsid w:val="00000B97"/>
    <w:rsid w:val="00001370"/>
    <w:rsid w:val="00001D77"/>
    <w:rsid w:val="000020A9"/>
    <w:rsid w:val="00002439"/>
    <w:rsid w:val="000033EA"/>
    <w:rsid w:val="000034EB"/>
    <w:rsid w:val="000039A0"/>
    <w:rsid w:val="00003BEC"/>
    <w:rsid w:val="00003D53"/>
    <w:rsid w:val="000042B4"/>
    <w:rsid w:val="00005286"/>
    <w:rsid w:val="00005C38"/>
    <w:rsid w:val="00005D70"/>
    <w:rsid w:val="0000614D"/>
    <w:rsid w:val="00007043"/>
    <w:rsid w:val="0001027C"/>
    <w:rsid w:val="0001167C"/>
    <w:rsid w:val="00011E7F"/>
    <w:rsid w:val="000122E1"/>
    <w:rsid w:val="000122EA"/>
    <w:rsid w:val="00012F0C"/>
    <w:rsid w:val="00013C42"/>
    <w:rsid w:val="00014853"/>
    <w:rsid w:val="00020930"/>
    <w:rsid w:val="000209C8"/>
    <w:rsid w:val="0002150D"/>
    <w:rsid w:val="00022DE2"/>
    <w:rsid w:val="00023B30"/>
    <w:rsid w:val="00023BFE"/>
    <w:rsid w:val="000240B5"/>
    <w:rsid w:val="00025638"/>
    <w:rsid w:val="00026035"/>
    <w:rsid w:val="00026170"/>
    <w:rsid w:val="00026F4F"/>
    <w:rsid w:val="0002798A"/>
    <w:rsid w:val="0002798C"/>
    <w:rsid w:val="00027ED6"/>
    <w:rsid w:val="00030421"/>
    <w:rsid w:val="00030505"/>
    <w:rsid w:val="00030CE8"/>
    <w:rsid w:val="00030EC5"/>
    <w:rsid w:val="00031965"/>
    <w:rsid w:val="000327F8"/>
    <w:rsid w:val="00033068"/>
    <w:rsid w:val="0003332F"/>
    <w:rsid w:val="00034318"/>
    <w:rsid w:val="000345B5"/>
    <w:rsid w:val="0003499B"/>
    <w:rsid w:val="00034F77"/>
    <w:rsid w:val="00035038"/>
    <w:rsid w:val="00035598"/>
    <w:rsid w:val="00037D86"/>
    <w:rsid w:val="000401B3"/>
    <w:rsid w:val="000405A9"/>
    <w:rsid w:val="00040F11"/>
    <w:rsid w:val="000423AB"/>
    <w:rsid w:val="000423DC"/>
    <w:rsid w:val="00043411"/>
    <w:rsid w:val="000444EF"/>
    <w:rsid w:val="0004499B"/>
    <w:rsid w:val="00045E9D"/>
    <w:rsid w:val="00046147"/>
    <w:rsid w:val="000472CD"/>
    <w:rsid w:val="000475C0"/>
    <w:rsid w:val="0005136D"/>
    <w:rsid w:val="00051482"/>
    <w:rsid w:val="0005168F"/>
    <w:rsid w:val="0005323D"/>
    <w:rsid w:val="00053E28"/>
    <w:rsid w:val="00053E68"/>
    <w:rsid w:val="00054457"/>
    <w:rsid w:val="00054B2B"/>
    <w:rsid w:val="000558B1"/>
    <w:rsid w:val="00055CFF"/>
    <w:rsid w:val="00057200"/>
    <w:rsid w:val="00057ADE"/>
    <w:rsid w:val="000604E8"/>
    <w:rsid w:val="00060B93"/>
    <w:rsid w:val="00060C54"/>
    <w:rsid w:val="0006114C"/>
    <w:rsid w:val="000613BA"/>
    <w:rsid w:val="00061AA8"/>
    <w:rsid w:val="000628A3"/>
    <w:rsid w:val="00063557"/>
    <w:rsid w:val="00064448"/>
    <w:rsid w:val="00064D62"/>
    <w:rsid w:val="00067261"/>
    <w:rsid w:val="00067D5E"/>
    <w:rsid w:val="00070D2D"/>
    <w:rsid w:val="00070E60"/>
    <w:rsid w:val="000715EE"/>
    <w:rsid w:val="00071D9C"/>
    <w:rsid w:val="00071EA2"/>
    <w:rsid w:val="0007371A"/>
    <w:rsid w:val="000740DD"/>
    <w:rsid w:val="00074412"/>
    <w:rsid w:val="000745E5"/>
    <w:rsid w:val="00074DD4"/>
    <w:rsid w:val="000752A8"/>
    <w:rsid w:val="00075831"/>
    <w:rsid w:val="00075FF0"/>
    <w:rsid w:val="00076015"/>
    <w:rsid w:val="00076653"/>
    <w:rsid w:val="00076C33"/>
    <w:rsid w:val="0008049D"/>
    <w:rsid w:val="0008096F"/>
    <w:rsid w:val="00080B50"/>
    <w:rsid w:val="0008116B"/>
    <w:rsid w:val="00082920"/>
    <w:rsid w:val="00082C71"/>
    <w:rsid w:val="0008388A"/>
    <w:rsid w:val="0008431F"/>
    <w:rsid w:val="0008457A"/>
    <w:rsid w:val="000847C7"/>
    <w:rsid w:val="00084E90"/>
    <w:rsid w:val="00085B45"/>
    <w:rsid w:val="00085DC7"/>
    <w:rsid w:val="00086427"/>
    <w:rsid w:val="00086BD8"/>
    <w:rsid w:val="0008745A"/>
    <w:rsid w:val="000877D6"/>
    <w:rsid w:val="00087BE6"/>
    <w:rsid w:val="0009054C"/>
    <w:rsid w:val="00090970"/>
    <w:rsid w:val="00090D21"/>
    <w:rsid w:val="0009216B"/>
    <w:rsid w:val="000922AE"/>
    <w:rsid w:val="000925B2"/>
    <w:rsid w:val="0009263E"/>
    <w:rsid w:val="0009353C"/>
    <w:rsid w:val="00093881"/>
    <w:rsid w:val="00093D2D"/>
    <w:rsid w:val="00093DA0"/>
    <w:rsid w:val="00093E54"/>
    <w:rsid w:val="0009437C"/>
    <w:rsid w:val="000946B4"/>
    <w:rsid w:val="00094969"/>
    <w:rsid w:val="000950F6"/>
    <w:rsid w:val="00095610"/>
    <w:rsid w:val="0009650D"/>
    <w:rsid w:val="00096C19"/>
    <w:rsid w:val="00097620"/>
    <w:rsid w:val="00097917"/>
    <w:rsid w:val="000A0287"/>
    <w:rsid w:val="000A08D3"/>
    <w:rsid w:val="000A0FAD"/>
    <w:rsid w:val="000A14B6"/>
    <w:rsid w:val="000A192E"/>
    <w:rsid w:val="000A1DDA"/>
    <w:rsid w:val="000A2365"/>
    <w:rsid w:val="000A262B"/>
    <w:rsid w:val="000A3E83"/>
    <w:rsid w:val="000A4D1D"/>
    <w:rsid w:val="000A5039"/>
    <w:rsid w:val="000A5FA6"/>
    <w:rsid w:val="000A6043"/>
    <w:rsid w:val="000A61E4"/>
    <w:rsid w:val="000A6468"/>
    <w:rsid w:val="000A68BF"/>
    <w:rsid w:val="000A78D6"/>
    <w:rsid w:val="000A7BA6"/>
    <w:rsid w:val="000B00FC"/>
    <w:rsid w:val="000B0486"/>
    <w:rsid w:val="000B090F"/>
    <w:rsid w:val="000B0CF4"/>
    <w:rsid w:val="000B1BBC"/>
    <w:rsid w:val="000B1C51"/>
    <w:rsid w:val="000B3657"/>
    <w:rsid w:val="000B3797"/>
    <w:rsid w:val="000B3E28"/>
    <w:rsid w:val="000B3EFC"/>
    <w:rsid w:val="000B42F2"/>
    <w:rsid w:val="000B4435"/>
    <w:rsid w:val="000B469A"/>
    <w:rsid w:val="000B5BC4"/>
    <w:rsid w:val="000B62AD"/>
    <w:rsid w:val="000B7196"/>
    <w:rsid w:val="000B7B48"/>
    <w:rsid w:val="000C02A3"/>
    <w:rsid w:val="000C0F08"/>
    <w:rsid w:val="000C2237"/>
    <w:rsid w:val="000C2F78"/>
    <w:rsid w:val="000C3BED"/>
    <w:rsid w:val="000C4502"/>
    <w:rsid w:val="000C4E71"/>
    <w:rsid w:val="000C4E86"/>
    <w:rsid w:val="000C5A01"/>
    <w:rsid w:val="000C5BD7"/>
    <w:rsid w:val="000C5E40"/>
    <w:rsid w:val="000C62A7"/>
    <w:rsid w:val="000C6A3B"/>
    <w:rsid w:val="000C7199"/>
    <w:rsid w:val="000D0CE1"/>
    <w:rsid w:val="000D0EB6"/>
    <w:rsid w:val="000D0EEF"/>
    <w:rsid w:val="000D18FF"/>
    <w:rsid w:val="000D1AD5"/>
    <w:rsid w:val="000D1D5B"/>
    <w:rsid w:val="000D3136"/>
    <w:rsid w:val="000D3AD5"/>
    <w:rsid w:val="000D423C"/>
    <w:rsid w:val="000D4B5F"/>
    <w:rsid w:val="000D646B"/>
    <w:rsid w:val="000D6E0A"/>
    <w:rsid w:val="000D7164"/>
    <w:rsid w:val="000E01FB"/>
    <w:rsid w:val="000E02E8"/>
    <w:rsid w:val="000E0829"/>
    <w:rsid w:val="000E0BFB"/>
    <w:rsid w:val="000E0EBD"/>
    <w:rsid w:val="000E0EE5"/>
    <w:rsid w:val="000E17FC"/>
    <w:rsid w:val="000E1986"/>
    <w:rsid w:val="000E4677"/>
    <w:rsid w:val="000E4B3E"/>
    <w:rsid w:val="000E5545"/>
    <w:rsid w:val="000E5708"/>
    <w:rsid w:val="000E5C1A"/>
    <w:rsid w:val="000E5D3B"/>
    <w:rsid w:val="000E7174"/>
    <w:rsid w:val="000E7C4E"/>
    <w:rsid w:val="000E7D76"/>
    <w:rsid w:val="000F0016"/>
    <w:rsid w:val="000F0364"/>
    <w:rsid w:val="000F079A"/>
    <w:rsid w:val="000F2881"/>
    <w:rsid w:val="000F402B"/>
    <w:rsid w:val="000F41B1"/>
    <w:rsid w:val="000F4DCC"/>
    <w:rsid w:val="000F58F2"/>
    <w:rsid w:val="000F5DC2"/>
    <w:rsid w:val="000F68DE"/>
    <w:rsid w:val="000F6E40"/>
    <w:rsid w:val="0010031F"/>
    <w:rsid w:val="001015D2"/>
    <w:rsid w:val="00101A60"/>
    <w:rsid w:val="00101FE7"/>
    <w:rsid w:val="00103A8E"/>
    <w:rsid w:val="001040B9"/>
    <w:rsid w:val="00104C5F"/>
    <w:rsid w:val="00105238"/>
    <w:rsid w:val="00105EAD"/>
    <w:rsid w:val="0010624F"/>
    <w:rsid w:val="001077F1"/>
    <w:rsid w:val="00110CB6"/>
    <w:rsid w:val="00110D7A"/>
    <w:rsid w:val="00110DD0"/>
    <w:rsid w:val="00111EA9"/>
    <w:rsid w:val="001122A5"/>
    <w:rsid w:val="00113089"/>
    <w:rsid w:val="001138AA"/>
    <w:rsid w:val="00114C0E"/>
    <w:rsid w:val="00116A95"/>
    <w:rsid w:val="001177F8"/>
    <w:rsid w:val="00120682"/>
    <w:rsid w:val="00120FC3"/>
    <w:rsid w:val="001219AB"/>
    <w:rsid w:val="00122A10"/>
    <w:rsid w:val="001232C8"/>
    <w:rsid w:val="00123F77"/>
    <w:rsid w:val="0012401B"/>
    <w:rsid w:val="00125E54"/>
    <w:rsid w:val="0012681F"/>
    <w:rsid w:val="00126F43"/>
    <w:rsid w:val="00130066"/>
    <w:rsid w:val="00130088"/>
    <w:rsid w:val="00130F0C"/>
    <w:rsid w:val="001323D3"/>
    <w:rsid w:val="00132B7C"/>
    <w:rsid w:val="00133028"/>
    <w:rsid w:val="0013303C"/>
    <w:rsid w:val="00137B7F"/>
    <w:rsid w:val="00140788"/>
    <w:rsid w:val="00140BB0"/>
    <w:rsid w:val="00140E31"/>
    <w:rsid w:val="0014297A"/>
    <w:rsid w:val="001435D8"/>
    <w:rsid w:val="00143904"/>
    <w:rsid w:val="0014393F"/>
    <w:rsid w:val="00143A2C"/>
    <w:rsid w:val="00143A3B"/>
    <w:rsid w:val="00144B8C"/>
    <w:rsid w:val="00146FB6"/>
    <w:rsid w:val="00147480"/>
    <w:rsid w:val="0014776C"/>
    <w:rsid w:val="0014791F"/>
    <w:rsid w:val="001517AF"/>
    <w:rsid w:val="001525DE"/>
    <w:rsid w:val="0015307E"/>
    <w:rsid w:val="001537AE"/>
    <w:rsid w:val="00154BCC"/>
    <w:rsid w:val="00155129"/>
    <w:rsid w:val="001552AB"/>
    <w:rsid w:val="001554ED"/>
    <w:rsid w:val="00155880"/>
    <w:rsid w:val="00156A18"/>
    <w:rsid w:val="00156CC0"/>
    <w:rsid w:val="00157D83"/>
    <w:rsid w:val="00157E8F"/>
    <w:rsid w:val="00157ED3"/>
    <w:rsid w:val="00160A9B"/>
    <w:rsid w:val="001612EC"/>
    <w:rsid w:val="00162051"/>
    <w:rsid w:val="00162968"/>
    <w:rsid w:val="00162DE0"/>
    <w:rsid w:val="0016346E"/>
    <w:rsid w:val="00164AF2"/>
    <w:rsid w:val="00164EFD"/>
    <w:rsid w:val="00165E5F"/>
    <w:rsid w:val="00165F4C"/>
    <w:rsid w:val="00170CBA"/>
    <w:rsid w:val="00172A27"/>
    <w:rsid w:val="001736A1"/>
    <w:rsid w:val="0017432F"/>
    <w:rsid w:val="00174DEC"/>
    <w:rsid w:val="001752D0"/>
    <w:rsid w:val="001755D2"/>
    <w:rsid w:val="001758D8"/>
    <w:rsid w:val="00175D82"/>
    <w:rsid w:val="00175EDD"/>
    <w:rsid w:val="001773C7"/>
    <w:rsid w:val="00177C28"/>
    <w:rsid w:val="00177C4A"/>
    <w:rsid w:val="0018014A"/>
    <w:rsid w:val="001809E3"/>
    <w:rsid w:val="00180A20"/>
    <w:rsid w:val="00180C3A"/>
    <w:rsid w:val="0018186B"/>
    <w:rsid w:val="001825C0"/>
    <w:rsid w:val="001827CC"/>
    <w:rsid w:val="00183544"/>
    <w:rsid w:val="00184869"/>
    <w:rsid w:val="00184D20"/>
    <w:rsid w:val="00186701"/>
    <w:rsid w:val="00190905"/>
    <w:rsid w:val="00190AA8"/>
    <w:rsid w:val="00191396"/>
    <w:rsid w:val="00192305"/>
    <w:rsid w:val="001925F1"/>
    <w:rsid w:val="001928B9"/>
    <w:rsid w:val="00193E41"/>
    <w:rsid w:val="00194EAB"/>
    <w:rsid w:val="00195DF3"/>
    <w:rsid w:val="00195EC8"/>
    <w:rsid w:val="00196533"/>
    <w:rsid w:val="00197E77"/>
    <w:rsid w:val="001A12A9"/>
    <w:rsid w:val="001A168D"/>
    <w:rsid w:val="001A17F7"/>
    <w:rsid w:val="001A1953"/>
    <w:rsid w:val="001A2675"/>
    <w:rsid w:val="001A2729"/>
    <w:rsid w:val="001A3665"/>
    <w:rsid w:val="001A3CD4"/>
    <w:rsid w:val="001A4581"/>
    <w:rsid w:val="001A4ADF"/>
    <w:rsid w:val="001A5051"/>
    <w:rsid w:val="001A51BB"/>
    <w:rsid w:val="001A5E78"/>
    <w:rsid w:val="001A705A"/>
    <w:rsid w:val="001B12A0"/>
    <w:rsid w:val="001B269A"/>
    <w:rsid w:val="001B2D69"/>
    <w:rsid w:val="001B4181"/>
    <w:rsid w:val="001B49FE"/>
    <w:rsid w:val="001B54A7"/>
    <w:rsid w:val="001B639B"/>
    <w:rsid w:val="001B698E"/>
    <w:rsid w:val="001B6BC1"/>
    <w:rsid w:val="001B71CE"/>
    <w:rsid w:val="001C07B5"/>
    <w:rsid w:val="001C0B56"/>
    <w:rsid w:val="001C0ED8"/>
    <w:rsid w:val="001C1420"/>
    <w:rsid w:val="001C1615"/>
    <w:rsid w:val="001C1AA1"/>
    <w:rsid w:val="001C3911"/>
    <w:rsid w:val="001C4657"/>
    <w:rsid w:val="001C4B22"/>
    <w:rsid w:val="001C52E8"/>
    <w:rsid w:val="001C5E9D"/>
    <w:rsid w:val="001C7166"/>
    <w:rsid w:val="001C7246"/>
    <w:rsid w:val="001C72FE"/>
    <w:rsid w:val="001C753C"/>
    <w:rsid w:val="001C75CC"/>
    <w:rsid w:val="001D0198"/>
    <w:rsid w:val="001D1934"/>
    <w:rsid w:val="001D3F01"/>
    <w:rsid w:val="001D5230"/>
    <w:rsid w:val="001D784A"/>
    <w:rsid w:val="001D7F08"/>
    <w:rsid w:val="001E1268"/>
    <w:rsid w:val="001E162D"/>
    <w:rsid w:val="001E25EB"/>
    <w:rsid w:val="001E297B"/>
    <w:rsid w:val="001E2C1B"/>
    <w:rsid w:val="001E2E22"/>
    <w:rsid w:val="001E3E51"/>
    <w:rsid w:val="001E4B0E"/>
    <w:rsid w:val="001E4D8E"/>
    <w:rsid w:val="001E5577"/>
    <w:rsid w:val="001E5842"/>
    <w:rsid w:val="001E5A04"/>
    <w:rsid w:val="001E5D9A"/>
    <w:rsid w:val="001E5DE9"/>
    <w:rsid w:val="001E5EB5"/>
    <w:rsid w:val="001E6D5A"/>
    <w:rsid w:val="001F0F46"/>
    <w:rsid w:val="001F2305"/>
    <w:rsid w:val="001F2416"/>
    <w:rsid w:val="001F2CED"/>
    <w:rsid w:val="001F3D06"/>
    <w:rsid w:val="001F44B6"/>
    <w:rsid w:val="001F4E97"/>
    <w:rsid w:val="001F5853"/>
    <w:rsid w:val="001F5BC0"/>
    <w:rsid w:val="001F6AAC"/>
    <w:rsid w:val="001F6AB5"/>
    <w:rsid w:val="00200D66"/>
    <w:rsid w:val="00201113"/>
    <w:rsid w:val="00201CFD"/>
    <w:rsid w:val="002020BF"/>
    <w:rsid w:val="00203099"/>
    <w:rsid w:val="0020368C"/>
    <w:rsid w:val="00204536"/>
    <w:rsid w:val="00204E2A"/>
    <w:rsid w:val="00205E59"/>
    <w:rsid w:val="00206EBB"/>
    <w:rsid w:val="0020738B"/>
    <w:rsid w:val="00207D70"/>
    <w:rsid w:val="0021107F"/>
    <w:rsid w:val="0021294A"/>
    <w:rsid w:val="00213506"/>
    <w:rsid w:val="00213A7A"/>
    <w:rsid w:val="002143C7"/>
    <w:rsid w:val="00214BA2"/>
    <w:rsid w:val="00215C05"/>
    <w:rsid w:val="00220077"/>
    <w:rsid w:val="002207CC"/>
    <w:rsid w:val="00220C12"/>
    <w:rsid w:val="00221093"/>
    <w:rsid w:val="0022185B"/>
    <w:rsid w:val="00222230"/>
    <w:rsid w:val="00223039"/>
    <w:rsid w:val="00223669"/>
    <w:rsid w:val="00224B1A"/>
    <w:rsid w:val="00225F0E"/>
    <w:rsid w:val="00225FB2"/>
    <w:rsid w:val="0022607F"/>
    <w:rsid w:val="00226137"/>
    <w:rsid w:val="00226D49"/>
    <w:rsid w:val="00226F79"/>
    <w:rsid w:val="00227B65"/>
    <w:rsid w:val="002310D1"/>
    <w:rsid w:val="00232614"/>
    <w:rsid w:val="0023282F"/>
    <w:rsid w:val="002333C9"/>
    <w:rsid w:val="0023387B"/>
    <w:rsid w:val="00233D39"/>
    <w:rsid w:val="002377D8"/>
    <w:rsid w:val="00237D9C"/>
    <w:rsid w:val="00240069"/>
    <w:rsid w:val="00241838"/>
    <w:rsid w:val="002427C3"/>
    <w:rsid w:val="00242C38"/>
    <w:rsid w:val="002441C4"/>
    <w:rsid w:val="00245596"/>
    <w:rsid w:val="00245B5B"/>
    <w:rsid w:val="00245D58"/>
    <w:rsid w:val="00250BC3"/>
    <w:rsid w:val="00250C4E"/>
    <w:rsid w:val="00250ECE"/>
    <w:rsid w:val="002510E5"/>
    <w:rsid w:val="00253157"/>
    <w:rsid w:val="0025350D"/>
    <w:rsid w:val="0025371F"/>
    <w:rsid w:val="0025386A"/>
    <w:rsid w:val="0025590E"/>
    <w:rsid w:val="00256348"/>
    <w:rsid w:val="0025798B"/>
    <w:rsid w:val="00257AE0"/>
    <w:rsid w:val="00260F48"/>
    <w:rsid w:val="002625E7"/>
    <w:rsid w:val="00263391"/>
    <w:rsid w:val="00264C7A"/>
    <w:rsid w:val="0026566F"/>
    <w:rsid w:val="0026601B"/>
    <w:rsid w:val="00266404"/>
    <w:rsid w:val="00267266"/>
    <w:rsid w:val="002722BE"/>
    <w:rsid w:val="0027319A"/>
    <w:rsid w:val="002735C4"/>
    <w:rsid w:val="00273AC9"/>
    <w:rsid w:val="00273CF5"/>
    <w:rsid w:val="002743A4"/>
    <w:rsid w:val="002749A5"/>
    <w:rsid w:val="00274E38"/>
    <w:rsid w:val="00274FE1"/>
    <w:rsid w:val="00275900"/>
    <w:rsid w:val="00276074"/>
    <w:rsid w:val="00280745"/>
    <w:rsid w:val="00280ECF"/>
    <w:rsid w:val="0028157C"/>
    <w:rsid w:val="00282A07"/>
    <w:rsid w:val="00284731"/>
    <w:rsid w:val="0028511B"/>
    <w:rsid w:val="00285923"/>
    <w:rsid w:val="00285F87"/>
    <w:rsid w:val="00286F75"/>
    <w:rsid w:val="00286F99"/>
    <w:rsid w:val="00287607"/>
    <w:rsid w:val="00287F55"/>
    <w:rsid w:val="00290EEC"/>
    <w:rsid w:val="00291791"/>
    <w:rsid w:val="00292391"/>
    <w:rsid w:val="0029377E"/>
    <w:rsid w:val="00293F41"/>
    <w:rsid w:val="00294C22"/>
    <w:rsid w:val="00294ECA"/>
    <w:rsid w:val="00294F58"/>
    <w:rsid w:val="00295284"/>
    <w:rsid w:val="00295F89"/>
    <w:rsid w:val="00296162"/>
    <w:rsid w:val="002961E9"/>
    <w:rsid w:val="00296335"/>
    <w:rsid w:val="002971D1"/>
    <w:rsid w:val="002A0A1E"/>
    <w:rsid w:val="002A0C4E"/>
    <w:rsid w:val="002A1005"/>
    <w:rsid w:val="002A25AB"/>
    <w:rsid w:val="002A2B78"/>
    <w:rsid w:val="002A2D96"/>
    <w:rsid w:val="002A422F"/>
    <w:rsid w:val="002A4440"/>
    <w:rsid w:val="002A6EC0"/>
    <w:rsid w:val="002A7CDB"/>
    <w:rsid w:val="002B10FD"/>
    <w:rsid w:val="002B170C"/>
    <w:rsid w:val="002B2007"/>
    <w:rsid w:val="002B2481"/>
    <w:rsid w:val="002B28EA"/>
    <w:rsid w:val="002B30B0"/>
    <w:rsid w:val="002B361B"/>
    <w:rsid w:val="002B4678"/>
    <w:rsid w:val="002B4A4B"/>
    <w:rsid w:val="002B56BE"/>
    <w:rsid w:val="002B6415"/>
    <w:rsid w:val="002B6729"/>
    <w:rsid w:val="002B7B6B"/>
    <w:rsid w:val="002C13CF"/>
    <w:rsid w:val="002C2205"/>
    <w:rsid w:val="002C22E6"/>
    <w:rsid w:val="002C2C32"/>
    <w:rsid w:val="002C2CA9"/>
    <w:rsid w:val="002C3088"/>
    <w:rsid w:val="002C4058"/>
    <w:rsid w:val="002C5190"/>
    <w:rsid w:val="002C586C"/>
    <w:rsid w:val="002C5939"/>
    <w:rsid w:val="002C5AB0"/>
    <w:rsid w:val="002C6B59"/>
    <w:rsid w:val="002C7A03"/>
    <w:rsid w:val="002C7FE2"/>
    <w:rsid w:val="002D0804"/>
    <w:rsid w:val="002D08C7"/>
    <w:rsid w:val="002D08FE"/>
    <w:rsid w:val="002D1266"/>
    <w:rsid w:val="002D1558"/>
    <w:rsid w:val="002D1B6E"/>
    <w:rsid w:val="002D2AF3"/>
    <w:rsid w:val="002D3471"/>
    <w:rsid w:val="002D540D"/>
    <w:rsid w:val="002D5F69"/>
    <w:rsid w:val="002D6845"/>
    <w:rsid w:val="002D6FDD"/>
    <w:rsid w:val="002D706E"/>
    <w:rsid w:val="002D729E"/>
    <w:rsid w:val="002E035B"/>
    <w:rsid w:val="002E2949"/>
    <w:rsid w:val="002E30F7"/>
    <w:rsid w:val="002E395E"/>
    <w:rsid w:val="002E3D2D"/>
    <w:rsid w:val="002E433F"/>
    <w:rsid w:val="002E4881"/>
    <w:rsid w:val="002E4E06"/>
    <w:rsid w:val="002E5650"/>
    <w:rsid w:val="002E643E"/>
    <w:rsid w:val="002E6CDF"/>
    <w:rsid w:val="002E6E6E"/>
    <w:rsid w:val="002E738D"/>
    <w:rsid w:val="002E75FC"/>
    <w:rsid w:val="002E7E9B"/>
    <w:rsid w:val="002F0578"/>
    <w:rsid w:val="002F0CE7"/>
    <w:rsid w:val="002F102D"/>
    <w:rsid w:val="002F1DBC"/>
    <w:rsid w:val="002F2B9A"/>
    <w:rsid w:val="002F40D9"/>
    <w:rsid w:val="002F459B"/>
    <w:rsid w:val="002F5C5E"/>
    <w:rsid w:val="002F706F"/>
    <w:rsid w:val="002F7206"/>
    <w:rsid w:val="00300382"/>
    <w:rsid w:val="00302A4D"/>
    <w:rsid w:val="00303DD2"/>
    <w:rsid w:val="003042F5"/>
    <w:rsid w:val="0030592F"/>
    <w:rsid w:val="003060BC"/>
    <w:rsid w:val="0030700A"/>
    <w:rsid w:val="0030771F"/>
    <w:rsid w:val="00310AF6"/>
    <w:rsid w:val="00311DD7"/>
    <w:rsid w:val="003168A3"/>
    <w:rsid w:val="0031764D"/>
    <w:rsid w:val="00320227"/>
    <w:rsid w:val="003206BF"/>
    <w:rsid w:val="00323F18"/>
    <w:rsid w:val="00324154"/>
    <w:rsid w:val="0032574A"/>
    <w:rsid w:val="00325AFB"/>
    <w:rsid w:val="00325F75"/>
    <w:rsid w:val="00326137"/>
    <w:rsid w:val="00326203"/>
    <w:rsid w:val="0032639C"/>
    <w:rsid w:val="00326408"/>
    <w:rsid w:val="00326542"/>
    <w:rsid w:val="003279A9"/>
    <w:rsid w:val="00330203"/>
    <w:rsid w:val="00331010"/>
    <w:rsid w:val="0033110F"/>
    <w:rsid w:val="00331EE2"/>
    <w:rsid w:val="0033200F"/>
    <w:rsid w:val="003333F0"/>
    <w:rsid w:val="00333589"/>
    <w:rsid w:val="00333706"/>
    <w:rsid w:val="003339C5"/>
    <w:rsid w:val="00333C65"/>
    <w:rsid w:val="003340C2"/>
    <w:rsid w:val="00334972"/>
    <w:rsid w:val="003371E5"/>
    <w:rsid w:val="0033725B"/>
    <w:rsid w:val="00337C9E"/>
    <w:rsid w:val="00341DC8"/>
    <w:rsid w:val="0034231C"/>
    <w:rsid w:val="003426DD"/>
    <w:rsid w:val="00342815"/>
    <w:rsid w:val="003431BC"/>
    <w:rsid w:val="00343AB8"/>
    <w:rsid w:val="00344655"/>
    <w:rsid w:val="0034530E"/>
    <w:rsid w:val="00346687"/>
    <w:rsid w:val="00346A25"/>
    <w:rsid w:val="00347FC7"/>
    <w:rsid w:val="00350365"/>
    <w:rsid w:val="0035093B"/>
    <w:rsid w:val="00350B82"/>
    <w:rsid w:val="00351C4C"/>
    <w:rsid w:val="0035211E"/>
    <w:rsid w:val="00352F09"/>
    <w:rsid w:val="00353E98"/>
    <w:rsid w:val="003555E0"/>
    <w:rsid w:val="00355CAE"/>
    <w:rsid w:val="00355D90"/>
    <w:rsid w:val="003579BC"/>
    <w:rsid w:val="00357E09"/>
    <w:rsid w:val="0036102F"/>
    <w:rsid w:val="00361479"/>
    <w:rsid w:val="0036300E"/>
    <w:rsid w:val="00363703"/>
    <w:rsid w:val="0036390D"/>
    <w:rsid w:val="00363F47"/>
    <w:rsid w:val="00364B94"/>
    <w:rsid w:val="00364E1C"/>
    <w:rsid w:val="0036511F"/>
    <w:rsid w:val="00365CF1"/>
    <w:rsid w:val="00366605"/>
    <w:rsid w:val="0036696F"/>
    <w:rsid w:val="003673D4"/>
    <w:rsid w:val="0037015E"/>
    <w:rsid w:val="003706AA"/>
    <w:rsid w:val="003713A0"/>
    <w:rsid w:val="00371659"/>
    <w:rsid w:val="00371985"/>
    <w:rsid w:val="00371E1F"/>
    <w:rsid w:val="00374FCA"/>
    <w:rsid w:val="0037571A"/>
    <w:rsid w:val="003758D5"/>
    <w:rsid w:val="00377527"/>
    <w:rsid w:val="00380E89"/>
    <w:rsid w:val="003824DE"/>
    <w:rsid w:val="00382CBE"/>
    <w:rsid w:val="00383182"/>
    <w:rsid w:val="00383C06"/>
    <w:rsid w:val="00383E38"/>
    <w:rsid w:val="0038444E"/>
    <w:rsid w:val="00385597"/>
    <w:rsid w:val="00385A45"/>
    <w:rsid w:val="0038657D"/>
    <w:rsid w:val="003874A2"/>
    <w:rsid w:val="00387E5C"/>
    <w:rsid w:val="003932D8"/>
    <w:rsid w:val="00393EA9"/>
    <w:rsid w:val="00394168"/>
    <w:rsid w:val="00394925"/>
    <w:rsid w:val="00394A50"/>
    <w:rsid w:val="003956FA"/>
    <w:rsid w:val="0039583C"/>
    <w:rsid w:val="00395FD4"/>
    <w:rsid w:val="0039605C"/>
    <w:rsid w:val="003969E7"/>
    <w:rsid w:val="003970D2"/>
    <w:rsid w:val="00397930"/>
    <w:rsid w:val="003A07E7"/>
    <w:rsid w:val="003A0AB4"/>
    <w:rsid w:val="003A1317"/>
    <w:rsid w:val="003A2863"/>
    <w:rsid w:val="003A3A93"/>
    <w:rsid w:val="003A53E8"/>
    <w:rsid w:val="003A5D85"/>
    <w:rsid w:val="003A5EB2"/>
    <w:rsid w:val="003A63DC"/>
    <w:rsid w:val="003A71BF"/>
    <w:rsid w:val="003B047A"/>
    <w:rsid w:val="003B0E1D"/>
    <w:rsid w:val="003B2BFA"/>
    <w:rsid w:val="003B3229"/>
    <w:rsid w:val="003B3740"/>
    <w:rsid w:val="003B3B2C"/>
    <w:rsid w:val="003B3D8D"/>
    <w:rsid w:val="003B4335"/>
    <w:rsid w:val="003B600C"/>
    <w:rsid w:val="003B66D6"/>
    <w:rsid w:val="003B75AA"/>
    <w:rsid w:val="003B7CE4"/>
    <w:rsid w:val="003C001B"/>
    <w:rsid w:val="003C0113"/>
    <w:rsid w:val="003C0637"/>
    <w:rsid w:val="003C1256"/>
    <w:rsid w:val="003C162B"/>
    <w:rsid w:val="003C2A10"/>
    <w:rsid w:val="003C2FF1"/>
    <w:rsid w:val="003C3704"/>
    <w:rsid w:val="003C4B9C"/>
    <w:rsid w:val="003C55D4"/>
    <w:rsid w:val="003C62BB"/>
    <w:rsid w:val="003C6A56"/>
    <w:rsid w:val="003C79FD"/>
    <w:rsid w:val="003D06C7"/>
    <w:rsid w:val="003D0D2E"/>
    <w:rsid w:val="003D0FB8"/>
    <w:rsid w:val="003D1701"/>
    <w:rsid w:val="003D2FF9"/>
    <w:rsid w:val="003D31BB"/>
    <w:rsid w:val="003D35BF"/>
    <w:rsid w:val="003D4713"/>
    <w:rsid w:val="003D5A17"/>
    <w:rsid w:val="003D6517"/>
    <w:rsid w:val="003D6A8D"/>
    <w:rsid w:val="003E175A"/>
    <w:rsid w:val="003E2560"/>
    <w:rsid w:val="003E463D"/>
    <w:rsid w:val="003E4A64"/>
    <w:rsid w:val="003E71D6"/>
    <w:rsid w:val="003E7AEC"/>
    <w:rsid w:val="003E7B12"/>
    <w:rsid w:val="003E7F2F"/>
    <w:rsid w:val="003F0019"/>
    <w:rsid w:val="003F0682"/>
    <w:rsid w:val="003F15AE"/>
    <w:rsid w:val="003F200B"/>
    <w:rsid w:val="003F2109"/>
    <w:rsid w:val="003F2F38"/>
    <w:rsid w:val="003F3C80"/>
    <w:rsid w:val="003F4F76"/>
    <w:rsid w:val="003F676D"/>
    <w:rsid w:val="003F708C"/>
    <w:rsid w:val="003F729D"/>
    <w:rsid w:val="003F73D6"/>
    <w:rsid w:val="003F743A"/>
    <w:rsid w:val="003F756E"/>
    <w:rsid w:val="003F7713"/>
    <w:rsid w:val="00400494"/>
    <w:rsid w:val="004007FC"/>
    <w:rsid w:val="00400DAF"/>
    <w:rsid w:val="004013BD"/>
    <w:rsid w:val="0040182E"/>
    <w:rsid w:val="00402A5E"/>
    <w:rsid w:val="004034A7"/>
    <w:rsid w:val="004036E0"/>
    <w:rsid w:val="00403E2A"/>
    <w:rsid w:val="00404040"/>
    <w:rsid w:val="00404478"/>
    <w:rsid w:val="004049B7"/>
    <w:rsid w:val="0040647E"/>
    <w:rsid w:val="00406B55"/>
    <w:rsid w:val="004070DD"/>
    <w:rsid w:val="00407DF7"/>
    <w:rsid w:val="00410845"/>
    <w:rsid w:val="00410D7A"/>
    <w:rsid w:val="00412713"/>
    <w:rsid w:val="0041284E"/>
    <w:rsid w:val="00412B04"/>
    <w:rsid w:val="004134DC"/>
    <w:rsid w:val="00415205"/>
    <w:rsid w:val="004153D8"/>
    <w:rsid w:val="00417661"/>
    <w:rsid w:val="00417E5C"/>
    <w:rsid w:val="00417E90"/>
    <w:rsid w:val="00417EC3"/>
    <w:rsid w:val="00420505"/>
    <w:rsid w:val="0042065E"/>
    <w:rsid w:val="0042132C"/>
    <w:rsid w:val="004225DD"/>
    <w:rsid w:val="00422960"/>
    <w:rsid w:val="00422C22"/>
    <w:rsid w:val="00423C17"/>
    <w:rsid w:val="004250F0"/>
    <w:rsid w:val="00425FB0"/>
    <w:rsid w:val="00426A0E"/>
    <w:rsid w:val="004277D4"/>
    <w:rsid w:val="00427A75"/>
    <w:rsid w:val="00427D6F"/>
    <w:rsid w:val="00431296"/>
    <w:rsid w:val="004316D9"/>
    <w:rsid w:val="00431E68"/>
    <w:rsid w:val="00432CEB"/>
    <w:rsid w:val="0043396C"/>
    <w:rsid w:val="00433D5E"/>
    <w:rsid w:val="00434F80"/>
    <w:rsid w:val="0043515C"/>
    <w:rsid w:val="00435548"/>
    <w:rsid w:val="00435959"/>
    <w:rsid w:val="00436094"/>
    <w:rsid w:val="00437492"/>
    <w:rsid w:val="00440067"/>
    <w:rsid w:val="00440423"/>
    <w:rsid w:val="00440DFB"/>
    <w:rsid w:val="00440F9F"/>
    <w:rsid w:val="0044133E"/>
    <w:rsid w:val="00442206"/>
    <w:rsid w:val="004426A1"/>
    <w:rsid w:val="004426E5"/>
    <w:rsid w:val="00443529"/>
    <w:rsid w:val="004444FE"/>
    <w:rsid w:val="00444CC7"/>
    <w:rsid w:val="004451E5"/>
    <w:rsid w:val="00445507"/>
    <w:rsid w:val="004455F5"/>
    <w:rsid w:val="00445B0E"/>
    <w:rsid w:val="004466A7"/>
    <w:rsid w:val="00447426"/>
    <w:rsid w:val="00447B15"/>
    <w:rsid w:val="00450150"/>
    <w:rsid w:val="00450516"/>
    <w:rsid w:val="004515D3"/>
    <w:rsid w:val="00452146"/>
    <w:rsid w:val="004524D8"/>
    <w:rsid w:val="004527DA"/>
    <w:rsid w:val="00452ADC"/>
    <w:rsid w:val="00453B98"/>
    <w:rsid w:val="00454889"/>
    <w:rsid w:val="00455354"/>
    <w:rsid w:val="00456D44"/>
    <w:rsid w:val="004574DC"/>
    <w:rsid w:val="00460AFC"/>
    <w:rsid w:val="004615A8"/>
    <w:rsid w:val="00462374"/>
    <w:rsid w:val="00462966"/>
    <w:rsid w:val="00462D1C"/>
    <w:rsid w:val="00462E83"/>
    <w:rsid w:val="00462F47"/>
    <w:rsid w:val="00463142"/>
    <w:rsid w:val="00463273"/>
    <w:rsid w:val="0046352D"/>
    <w:rsid w:val="0046385E"/>
    <w:rsid w:val="004641F9"/>
    <w:rsid w:val="00465385"/>
    <w:rsid w:val="00465B32"/>
    <w:rsid w:val="004661CE"/>
    <w:rsid w:val="004670B2"/>
    <w:rsid w:val="0046725F"/>
    <w:rsid w:val="00467E8B"/>
    <w:rsid w:val="0047105D"/>
    <w:rsid w:val="00471146"/>
    <w:rsid w:val="0047168C"/>
    <w:rsid w:val="00471C25"/>
    <w:rsid w:val="00471E4E"/>
    <w:rsid w:val="004730E4"/>
    <w:rsid w:val="00473458"/>
    <w:rsid w:val="00473542"/>
    <w:rsid w:val="0047355E"/>
    <w:rsid w:val="0047398D"/>
    <w:rsid w:val="0047476E"/>
    <w:rsid w:val="004747A6"/>
    <w:rsid w:val="00474FAB"/>
    <w:rsid w:val="00481AA7"/>
    <w:rsid w:val="0048249E"/>
    <w:rsid w:val="00482537"/>
    <w:rsid w:val="00483831"/>
    <w:rsid w:val="00483C2D"/>
    <w:rsid w:val="0048564D"/>
    <w:rsid w:val="0048610D"/>
    <w:rsid w:val="00487502"/>
    <w:rsid w:val="00487D20"/>
    <w:rsid w:val="00487EDD"/>
    <w:rsid w:val="004902C6"/>
    <w:rsid w:val="00491F6A"/>
    <w:rsid w:val="00492C65"/>
    <w:rsid w:val="00493036"/>
    <w:rsid w:val="00493813"/>
    <w:rsid w:val="00493D0E"/>
    <w:rsid w:val="00493DE3"/>
    <w:rsid w:val="00495C96"/>
    <w:rsid w:val="00496A82"/>
    <w:rsid w:val="004973B6"/>
    <w:rsid w:val="004A0209"/>
    <w:rsid w:val="004A0B00"/>
    <w:rsid w:val="004A1B27"/>
    <w:rsid w:val="004A2519"/>
    <w:rsid w:val="004A27D6"/>
    <w:rsid w:val="004A2D87"/>
    <w:rsid w:val="004A2E8E"/>
    <w:rsid w:val="004A3094"/>
    <w:rsid w:val="004A3886"/>
    <w:rsid w:val="004A3B69"/>
    <w:rsid w:val="004A4CEB"/>
    <w:rsid w:val="004A54D0"/>
    <w:rsid w:val="004A6918"/>
    <w:rsid w:val="004B0D78"/>
    <w:rsid w:val="004B17D0"/>
    <w:rsid w:val="004B1EF0"/>
    <w:rsid w:val="004B2F1B"/>
    <w:rsid w:val="004B41A3"/>
    <w:rsid w:val="004B45ED"/>
    <w:rsid w:val="004B57BD"/>
    <w:rsid w:val="004B68D8"/>
    <w:rsid w:val="004B7122"/>
    <w:rsid w:val="004B73C5"/>
    <w:rsid w:val="004C00FA"/>
    <w:rsid w:val="004C09FC"/>
    <w:rsid w:val="004C101C"/>
    <w:rsid w:val="004C13BF"/>
    <w:rsid w:val="004C1CB5"/>
    <w:rsid w:val="004C1E35"/>
    <w:rsid w:val="004C2EA2"/>
    <w:rsid w:val="004C379E"/>
    <w:rsid w:val="004C3D52"/>
    <w:rsid w:val="004C5C79"/>
    <w:rsid w:val="004C6A62"/>
    <w:rsid w:val="004C7DF8"/>
    <w:rsid w:val="004C7ED1"/>
    <w:rsid w:val="004D07B1"/>
    <w:rsid w:val="004D27E4"/>
    <w:rsid w:val="004D2F73"/>
    <w:rsid w:val="004D3C4D"/>
    <w:rsid w:val="004D54AE"/>
    <w:rsid w:val="004D5507"/>
    <w:rsid w:val="004D5ACA"/>
    <w:rsid w:val="004D64B8"/>
    <w:rsid w:val="004D7064"/>
    <w:rsid w:val="004D78B1"/>
    <w:rsid w:val="004E12B7"/>
    <w:rsid w:val="004E3FA9"/>
    <w:rsid w:val="004E4145"/>
    <w:rsid w:val="004E4665"/>
    <w:rsid w:val="004E46A2"/>
    <w:rsid w:val="004E4B44"/>
    <w:rsid w:val="004E52DA"/>
    <w:rsid w:val="004E5437"/>
    <w:rsid w:val="004E64C9"/>
    <w:rsid w:val="004E70B7"/>
    <w:rsid w:val="004E77B8"/>
    <w:rsid w:val="004E78C1"/>
    <w:rsid w:val="004F0C62"/>
    <w:rsid w:val="004F136D"/>
    <w:rsid w:val="004F1FE6"/>
    <w:rsid w:val="004F2602"/>
    <w:rsid w:val="004F3980"/>
    <w:rsid w:val="004F4562"/>
    <w:rsid w:val="004F46AD"/>
    <w:rsid w:val="004F4B4C"/>
    <w:rsid w:val="004F4FF5"/>
    <w:rsid w:val="004F579F"/>
    <w:rsid w:val="004F5849"/>
    <w:rsid w:val="004F5924"/>
    <w:rsid w:val="004F5AEB"/>
    <w:rsid w:val="004F5D80"/>
    <w:rsid w:val="004F719E"/>
    <w:rsid w:val="004F73FF"/>
    <w:rsid w:val="004F7D7E"/>
    <w:rsid w:val="004F7D91"/>
    <w:rsid w:val="00500907"/>
    <w:rsid w:val="005020F6"/>
    <w:rsid w:val="00502295"/>
    <w:rsid w:val="00504D35"/>
    <w:rsid w:val="00505566"/>
    <w:rsid w:val="005065BD"/>
    <w:rsid w:val="00507A86"/>
    <w:rsid w:val="00510378"/>
    <w:rsid w:val="00510CDE"/>
    <w:rsid w:val="0051100C"/>
    <w:rsid w:val="00512060"/>
    <w:rsid w:val="0051303A"/>
    <w:rsid w:val="00515417"/>
    <w:rsid w:val="00516BA9"/>
    <w:rsid w:val="0051764B"/>
    <w:rsid w:val="0051766A"/>
    <w:rsid w:val="00517EE3"/>
    <w:rsid w:val="00520186"/>
    <w:rsid w:val="00520311"/>
    <w:rsid w:val="0052031B"/>
    <w:rsid w:val="005209C4"/>
    <w:rsid w:val="00521DA3"/>
    <w:rsid w:val="00522A76"/>
    <w:rsid w:val="00522D7C"/>
    <w:rsid w:val="00523569"/>
    <w:rsid w:val="0052496D"/>
    <w:rsid w:val="00524EA6"/>
    <w:rsid w:val="005259CE"/>
    <w:rsid w:val="00526792"/>
    <w:rsid w:val="00526D4D"/>
    <w:rsid w:val="00527496"/>
    <w:rsid w:val="005276DD"/>
    <w:rsid w:val="005278B1"/>
    <w:rsid w:val="005302D1"/>
    <w:rsid w:val="0053056B"/>
    <w:rsid w:val="005310E0"/>
    <w:rsid w:val="0053124B"/>
    <w:rsid w:val="00532616"/>
    <w:rsid w:val="005332A9"/>
    <w:rsid w:val="00533805"/>
    <w:rsid w:val="00533978"/>
    <w:rsid w:val="00533D4C"/>
    <w:rsid w:val="0053430F"/>
    <w:rsid w:val="00534B98"/>
    <w:rsid w:val="005372B8"/>
    <w:rsid w:val="00537A8F"/>
    <w:rsid w:val="005400E6"/>
    <w:rsid w:val="0054048D"/>
    <w:rsid w:val="0054219A"/>
    <w:rsid w:val="0054250A"/>
    <w:rsid w:val="005426BF"/>
    <w:rsid w:val="00542899"/>
    <w:rsid w:val="00542EC2"/>
    <w:rsid w:val="00543186"/>
    <w:rsid w:val="005435CE"/>
    <w:rsid w:val="005443AC"/>
    <w:rsid w:val="0054500C"/>
    <w:rsid w:val="005452A4"/>
    <w:rsid w:val="00545729"/>
    <w:rsid w:val="005461A0"/>
    <w:rsid w:val="005465A3"/>
    <w:rsid w:val="00547E70"/>
    <w:rsid w:val="00547F85"/>
    <w:rsid w:val="00551727"/>
    <w:rsid w:val="00552E3E"/>
    <w:rsid w:val="0055337F"/>
    <w:rsid w:val="005534E9"/>
    <w:rsid w:val="00554109"/>
    <w:rsid w:val="0055418A"/>
    <w:rsid w:val="00555B36"/>
    <w:rsid w:val="00555B66"/>
    <w:rsid w:val="00556055"/>
    <w:rsid w:val="00556169"/>
    <w:rsid w:val="0055644A"/>
    <w:rsid w:val="00561217"/>
    <w:rsid w:val="00562DCC"/>
    <w:rsid w:val="0056313B"/>
    <w:rsid w:val="005639CF"/>
    <w:rsid w:val="00565DC6"/>
    <w:rsid w:val="00565E56"/>
    <w:rsid w:val="00565E58"/>
    <w:rsid w:val="00566BCC"/>
    <w:rsid w:val="00567028"/>
    <w:rsid w:val="0056739F"/>
    <w:rsid w:val="005677AE"/>
    <w:rsid w:val="00567E95"/>
    <w:rsid w:val="0057153F"/>
    <w:rsid w:val="005717E4"/>
    <w:rsid w:val="0057307C"/>
    <w:rsid w:val="0057352F"/>
    <w:rsid w:val="00573FC5"/>
    <w:rsid w:val="00574ACB"/>
    <w:rsid w:val="00576F46"/>
    <w:rsid w:val="00577B14"/>
    <w:rsid w:val="00577F02"/>
    <w:rsid w:val="00580159"/>
    <w:rsid w:val="0058291F"/>
    <w:rsid w:val="00583E41"/>
    <w:rsid w:val="005864FA"/>
    <w:rsid w:val="00587322"/>
    <w:rsid w:val="0058744D"/>
    <w:rsid w:val="00587CC9"/>
    <w:rsid w:val="0059276B"/>
    <w:rsid w:val="005929CB"/>
    <w:rsid w:val="00593799"/>
    <w:rsid w:val="00593E13"/>
    <w:rsid w:val="0059497D"/>
    <w:rsid w:val="00596098"/>
    <w:rsid w:val="005965BC"/>
    <w:rsid w:val="00596C16"/>
    <w:rsid w:val="00597112"/>
    <w:rsid w:val="005A0037"/>
    <w:rsid w:val="005A08F4"/>
    <w:rsid w:val="005A0DB5"/>
    <w:rsid w:val="005A1602"/>
    <w:rsid w:val="005A1D67"/>
    <w:rsid w:val="005A2AA6"/>
    <w:rsid w:val="005A2F90"/>
    <w:rsid w:val="005A3A15"/>
    <w:rsid w:val="005A4B08"/>
    <w:rsid w:val="005A5F6A"/>
    <w:rsid w:val="005A789A"/>
    <w:rsid w:val="005B121F"/>
    <w:rsid w:val="005B23F7"/>
    <w:rsid w:val="005B2A22"/>
    <w:rsid w:val="005B2A72"/>
    <w:rsid w:val="005B343C"/>
    <w:rsid w:val="005B4A08"/>
    <w:rsid w:val="005B614E"/>
    <w:rsid w:val="005B689F"/>
    <w:rsid w:val="005C17F8"/>
    <w:rsid w:val="005C1E8A"/>
    <w:rsid w:val="005C26FC"/>
    <w:rsid w:val="005C3A07"/>
    <w:rsid w:val="005C3CD6"/>
    <w:rsid w:val="005C3E2A"/>
    <w:rsid w:val="005C46F5"/>
    <w:rsid w:val="005C4950"/>
    <w:rsid w:val="005C4A0A"/>
    <w:rsid w:val="005C4CE1"/>
    <w:rsid w:val="005C52AE"/>
    <w:rsid w:val="005C629B"/>
    <w:rsid w:val="005C6694"/>
    <w:rsid w:val="005D0632"/>
    <w:rsid w:val="005D0723"/>
    <w:rsid w:val="005D09C8"/>
    <w:rsid w:val="005D200B"/>
    <w:rsid w:val="005D2015"/>
    <w:rsid w:val="005D21FD"/>
    <w:rsid w:val="005D2DB2"/>
    <w:rsid w:val="005D3927"/>
    <w:rsid w:val="005D3B6D"/>
    <w:rsid w:val="005D3E2C"/>
    <w:rsid w:val="005D59F9"/>
    <w:rsid w:val="005D66BB"/>
    <w:rsid w:val="005D6B67"/>
    <w:rsid w:val="005D793E"/>
    <w:rsid w:val="005D7CAD"/>
    <w:rsid w:val="005E1132"/>
    <w:rsid w:val="005E1388"/>
    <w:rsid w:val="005E270A"/>
    <w:rsid w:val="005E3E1C"/>
    <w:rsid w:val="005E4246"/>
    <w:rsid w:val="005E4A20"/>
    <w:rsid w:val="005E4AA0"/>
    <w:rsid w:val="005E515A"/>
    <w:rsid w:val="005E5172"/>
    <w:rsid w:val="005E54A6"/>
    <w:rsid w:val="005E5E35"/>
    <w:rsid w:val="005E634F"/>
    <w:rsid w:val="005E70E0"/>
    <w:rsid w:val="005E7DFC"/>
    <w:rsid w:val="005F0AA5"/>
    <w:rsid w:val="005F265F"/>
    <w:rsid w:val="005F2692"/>
    <w:rsid w:val="005F2AA4"/>
    <w:rsid w:val="005F3578"/>
    <w:rsid w:val="005F37DF"/>
    <w:rsid w:val="005F5F94"/>
    <w:rsid w:val="005F703B"/>
    <w:rsid w:val="00600A69"/>
    <w:rsid w:val="00602C1E"/>
    <w:rsid w:val="0060308A"/>
    <w:rsid w:val="0060538A"/>
    <w:rsid w:val="00605E04"/>
    <w:rsid w:val="00605ED1"/>
    <w:rsid w:val="006063CF"/>
    <w:rsid w:val="0060708A"/>
    <w:rsid w:val="0060724B"/>
    <w:rsid w:val="006072E7"/>
    <w:rsid w:val="0060757E"/>
    <w:rsid w:val="00607919"/>
    <w:rsid w:val="00610529"/>
    <w:rsid w:val="00610562"/>
    <w:rsid w:val="00611EBD"/>
    <w:rsid w:val="00612640"/>
    <w:rsid w:val="006129F8"/>
    <w:rsid w:val="00612AB5"/>
    <w:rsid w:val="00612E01"/>
    <w:rsid w:val="006132B6"/>
    <w:rsid w:val="00613356"/>
    <w:rsid w:val="00613A93"/>
    <w:rsid w:val="00614871"/>
    <w:rsid w:val="006150D6"/>
    <w:rsid w:val="00615E65"/>
    <w:rsid w:val="00617A53"/>
    <w:rsid w:val="0062015D"/>
    <w:rsid w:val="0062015F"/>
    <w:rsid w:val="0062055E"/>
    <w:rsid w:val="00621025"/>
    <w:rsid w:val="00621C31"/>
    <w:rsid w:val="00621C71"/>
    <w:rsid w:val="00622A51"/>
    <w:rsid w:val="00622A97"/>
    <w:rsid w:val="00623167"/>
    <w:rsid w:val="00624346"/>
    <w:rsid w:val="00624FC8"/>
    <w:rsid w:val="00626170"/>
    <w:rsid w:val="00626461"/>
    <w:rsid w:val="006265CF"/>
    <w:rsid w:val="00626C55"/>
    <w:rsid w:val="00627B6D"/>
    <w:rsid w:val="00630234"/>
    <w:rsid w:val="00630EAB"/>
    <w:rsid w:val="006313C1"/>
    <w:rsid w:val="00633798"/>
    <w:rsid w:val="00634026"/>
    <w:rsid w:val="006344BA"/>
    <w:rsid w:val="006351B2"/>
    <w:rsid w:val="006363F5"/>
    <w:rsid w:val="00636608"/>
    <w:rsid w:val="006369A4"/>
    <w:rsid w:val="00636F5C"/>
    <w:rsid w:val="0063723E"/>
    <w:rsid w:val="00640124"/>
    <w:rsid w:val="006408F8"/>
    <w:rsid w:val="00640D1D"/>
    <w:rsid w:val="00640D7F"/>
    <w:rsid w:val="00641003"/>
    <w:rsid w:val="006411C3"/>
    <w:rsid w:val="0064129C"/>
    <w:rsid w:val="0064146B"/>
    <w:rsid w:val="00641807"/>
    <w:rsid w:val="00641F5C"/>
    <w:rsid w:val="00642148"/>
    <w:rsid w:val="0064371E"/>
    <w:rsid w:val="006437AC"/>
    <w:rsid w:val="00645114"/>
    <w:rsid w:val="00645505"/>
    <w:rsid w:val="006455E6"/>
    <w:rsid w:val="00646EB5"/>
    <w:rsid w:val="006473FE"/>
    <w:rsid w:val="00650E38"/>
    <w:rsid w:val="00650F81"/>
    <w:rsid w:val="0065113F"/>
    <w:rsid w:val="00651527"/>
    <w:rsid w:val="00652118"/>
    <w:rsid w:val="00654B17"/>
    <w:rsid w:val="00655D7A"/>
    <w:rsid w:val="00656200"/>
    <w:rsid w:val="00656887"/>
    <w:rsid w:val="006569F2"/>
    <w:rsid w:val="00657495"/>
    <w:rsid w:val="00657620"/>
    <w:rsid w:val="00661333"/>
    <w:rsid w:val="006617A2"/>
    <w:rsid w:val="00661DAF"/>
    <w:rsid w:val="00661FD4"/>
    <w:rsid w:val="006632BD"/>
    <w:rsid w:val="00663788"/>
    <w:rsid w:val="00663A7F"/>
    <w:rsid w:val="00663F42"/>
    <w:rsid w:val="0066412E"/>
    <w:rsid w:val="00664CAD"/>
    <w:rsid w:val="00665D40"/>
    <w:rsid w:val="0066762F"/>
    <w:rsid w:val="00667F02"/>
    <w:rsid w:val="006701E5"/>
    <w:rsid w:val="006704DA"/>
    <w:rsid w:val="0067282C"/>
    <w:rsid w:val="00672C08"/>
    <w:rsid w:val="00672F4E"/>
    <w:rsid w:val="00673757"/>
    <w:rsid w:val="00673997"/>
    <w:rsid w:val="00674A1E"/>
    <w:rsid w:val="00674CD5"/>
    <w:rsid w:val="00674E8D"/>
    <w:rsid w:val="006752E3"/>
    <w:rsid w:val="006755EC"/>
    <w:rsid w:val="00677321"/>
    <w:rsid w:val="0067777E"/>
    <w:rsid w:val="00677B42"/>
    <w:rsid w:val="00682C2F"/>
    <w:rsid w:val="006830A9"/>
    <w:rsid w:val="006835E8"/>
    <w:rsid w:val="00683B33"/>
    <w:rsid w:val="00683D7C"/>
    <w:rsid w:val="0068464A"/>
    <w:rsid w:val="00684E1D"/>
    <w:rsid w:val="0068649F"/>
    <w:rsid w:val="00686E1E"/>
    <w:rsid w:val="00687504"/>
    <w:rsid w:val="00687639"/>
    <w:rsid w:val="00690057"/>
    <w:rsid w:val="006902B2"/>
    <w:rsid w:val="00690469"/>
    <w:rsid w:val="00690BDC"/>
    <w:rsid w:val="006916DD"/>
    <w:rsid w:val="00692511"/>
    <w:rsid w:val="00692C14"/>
    <w:rsid w:val="006939CB"/>
    <w:rsid w:val="006941CF"/>
    <w:rsid w:val="0069444C"/>
    <w:rsid w:val="00694D33"/>
    <w:rsid w:val="00696C36"/>
    <w:rsid w:val="00696FF3"/>
    <w:rsid w:val="0069717B"/>
    <w:rsid w:val="00697FC4"/>
    <w:rsid w:val="006A0003"/>
    <w:rsid w:val="006A0019"/>
    <w:rsid w:val="006A11AB"/>
    <w:rsid w:val="006A25B9"/>
    <w:rsid w:val="006A2B74"/>
    <w:rsid w:val="006A3DF0"/>
    <w:rsid w:val="006A6633"/>
    <w:rsid w:val="006B0E6E"/>
    <w:rsid w:val="006B0E7C"/>
    <w:rsid w:val="006B11BA"/>
    <w:rsid w:val="006B24CF"/>
    <w:rsid w:val="006B2BBE"/>
    <w:rsid w:val="006B322E"/>
    <w:rsid w:val="006B35A5"/>
    <w:rsid w:val="006B53F7"/>
    <w:rsid w:val="006B5F6A"/>
    <w:rsid w:val="006B5F73"/>
    <w:rsid w:val="006B7E76"/>
    <w:rsid w:val="006C0825"/>
    <w:rsid w:val="006C0955"/>
    <w:rsid w:val="006C306D"/>
    <w:rsid w:val="006C36E5"/>
    <w:rsid w:val="006C6ACF"/>
    <w:rsid w:val="006C76BD"/>
    <w:rsid w:val="006D0933"/>
    <w:rsid w:val="006D17B3"/>
    <w:rsid w:val="006D2DE5"/>
    <w:rsid w:val="006D46B2"/>
    <w:rsid w:val="006D5763"/>
    <w:rsid w:val="006D6255"/>
    <w:rsid w:val="006D767D"/>
    <w:rsid w:val="006D7D53"/>
    <w:rsid w:val="006E10B4"/>
    <w:rsid w:val="006E15CE"/>
    <w:rsid w:val="006E1863"/>
    <w:rsid w:val="006E1E29"/>
    <w:rsid w:val="006E1F1C"/>
    <w:rsid w:val="006E4519"/>
    <w:rsid w:val="006E5B88"/>
    <w:rsid w:val="006E633B"/>
    <w:rsid w:val="006E68DD"/>
    <w:rsid w:val="006E7355"/>
    <w:rsid w:val="006E73CC"/>
    <w:rsid w:val="006F1330"/>
    <w:rsid w:val="006F19BD"/>
    <w:rsid w:val="006F1F77"/>
    <w:rsid w:val="006F2602"/>
    <w:rsid w:val="006F2A94"/>
    <w:rsid w:val="006F2AA0"/>
    <w:rsid w:val="006F2B1D"/>
    <w:rsid w:val="006F3183"/>
    <w:rsid w:val="006F46E0"/>
    <w:rsid w:val="006F4AC8"/>
    <w:rsid w:val="006F4E4B"/>
    <w:rsid w:val="006F4F01"/>
    <w:rsid w:val="006F5A12"/>
    <w:rsid w:val="006F634E"/>
    <w:rsid w:val="006F641E"/>
    <w:rsid w:val="006F68B3"/>
    <w:rsid w:val="006F6CCE"/>
    <w:rsid w:val="006F73A3"/>
    <w:rsid w:val="006F741D"/>
    <w:rsid w:val="006F74BA"/>
    <w:rsid w:val="00700DB7"/>
    <w:rsid w:val="007010DF"/>
    <w:rsid w:val="00704208"/>
    <w:rsid w:val="00704325"/>
    <w:rsid w:val="00704CB4"/>
    <w:rsid w:val="00705D9A"/>
    <w:rsid w:val="00706D0F"/>
    <w:rsid w:val="007105A0"/>
    <w:rsid w:val="0071085E"/>
    <w:rsid w:val="00710E5F"/>
    <w:rsid w:val="00710E66"/>
    <w:rsid w:val="00710E70"/>
    <w:rsid w:val="00710EA3"/>
    <w:rsid w:val="007111E3"/>
    <w:rsid w:val="00711B44"/>
    <w:rsid w:val="00712A9B"/>
    <w:rsid w:val="00713985"/>
    <w:rsid w:val="00713CB8"/>
    <w:rsid w:val="00714500"/>
    <w:rsid w:val="00714E28"/>
    <w:rsid w:val="00715543"/>
    <w:rsid w:val="00715D63"/>
    <w:rsid w:val="00717F38"/>
    <w:rsid w:val="007212BF"/>
    <w:rsid w:val="00721411"/>
    <w:rsid w:val="007223A9"/>
    <w:rsid w:val="00722AF3"/>
    <w:rsid w:val="00723815"/>
    <w:rsid w:val="0072606E"/>
    <w:rsid w:val="00726E86"/>
    <w:rsid w:val="00732C0F"/>
    <w:rsid w:val="00733521"/>
    <w:rsid w:val="007335E9"/>
    <w:rsid w:val="0073489C"/>
    <w:rsid w:val="00734C3F"/>
    <w:rsid w:val="00736DEE"/>
    <w:rsid w:val="007414C5"/>
    <w:rsid w:val="00741A58"/>
    <w:rsid w:val="007429B5"/>
    <w:rsid w:val="00742A54"/>
    <w:rsid w:val="00742C96"/>
    <w:rsid w:val="007431BC"/>
    <w:rsid w:val="0075078C"/>
    <w:rsid w:val="0075092B"/>
    <w:rsid w:val="007510A9"/>
    <w:rsid w:val="0075295A"/>
    <w:rsid w:val="00752D6A"/>
    <w:rsid w:val="00752DAC"/>
    <w:rsid w:val="0075346A"/>
    <w:rsid w:val="00753F04"/>
    <w:rsid w:val="00755000"/>
    <w:rsid w:val="00755119"/>
    <w:rsid w:val="00757D21"/>
    <w:rsid w:val="00760050"/>
    <w:rsid w:val="00760434"/>
    <w:rsid w:val="0076185C"/>
    <w:rsid w:val="00761DB5"/>
    <w:rsid w:val="00762CA7"/>
    <w:rsid w:val="00763285"/>
    <w:rsid w:val="007640AC"/>
    <w:rsid w:val="00764214"/>
    <w:rsid w:val="00764C10"/>
    <w:rsid w:val="00764DFA"/>
    <w:rsid w:val="00765FC1"/>
    <w:rsid w:val="007673D5"/>
    <w:rsid w:val="00767DA9"/>
    <w:rsid w:val="007713F2"/>
    <w:rsid w:val="00772368"/>
    <w:rsid w:val="007734FE"/>
    <w:rsid w:val="00773A11"/>
    <w:rsid w:val="00773A9E"/>
    <w:rsid w:val="00774957"/>
    <w:rsid w:val="00774A17"/>
    <w:rsid w:val="0077633F"/>
    <w:rsid w:val="00776D46"/>
    <w:rsid w:val="00776FE0"/>
    <w:rsid w:val="00780F7E"/>
    <w:rsid w:val="00781284"/>
    <w:rsid w:val="0078280D"/>
    <w:rsid w:val="00782ECF"/>
    <w:rsid w:val="00783421"/>
    <w:rsid w:val="00783AD1"/>
    <w:rsid w:val="00783D95"/>
    <w:rsid w:val="00784581"/>
    <w:rsid w:val="007846AB"/>
    <w:rsid w:val="00784A14"/>
    <w:rsid w:val="00784C59"/>
    <w:rsid w:val="00785C4C"/>
    <w:rsid w:val="00786725"/>
    <w:rsid w:val="007869FC"/>
    <w:rsid w:val="00790AC1"/>
    <w:rsid w:val="007911E0"/>
    <w:rsid w:val="007940DB"/>
    <w:rsid w:val="007945EC"/>
    <w:rsid w:val="00794A46"/>
    <w:rsid w:val="00795F5A"/>
    <w:rsid w:val="00796C7A"/>
    <w:rsid w:val="00797209"/>
    <w:rsid w:val="007979D1"/>
    <w:rsid w:val="007A0ED4"/>
    <w:rsid w:val="007A1EF4"/>
    <w:rsid w:val="007A220F"/>
    <w:rsid w:val="007A2AF0"/>
    <w:rsid w:val="007A55EC"/>
    <w:rsid w:val="007A59B9"/>
    <w:rsid w:val="007A6669"/>
    <w:rsid w:val="007B0BAB"/>
    <w:rsid w:val="007B1458"/>
    <w:rsid w:val="007B16C6"/>
    <w:rsid w:val="007B3A5F"/>
    <w:rsid w:val="007B3C58"/>
    <w:rsid w:val="007B434E"/>
    <w:rsid w:val="007B4E10"/>
    <w:rsid w:val="007B5236"/>
    <w:rsid w:val="007B53E3"/>
    <w:rsid w:val="007B5655"/>
    <w:rsid w:val="007B5C79"/>
    <w:rsid w:val="007B5F89"/>
    <w:rsid w:val="007B633B"/>
    <w:rsid w:val="007B6974"/>
    <w:rsid w:val="007B69AD"/>
    <w:rsid w:val="007B75B4"/>
    <w:rsid w:val="007C005F"/>
    <w:rsid w:val="007C10A9"/>
    <w:rsid w:val="007C138B"/>
    <w:rsid w:val="007C1C5F"/>
    <w:rsid w:val="007C1F91"/>
    <w:rsid w:val="007C21DB"/>
    <w:rsid w:val="007C237E"/>
    <w:rsid w:val="007C266E"/>
    <w:rsid w:val="007C2C0C"/>
    <w:rsid w:val="007C4460"/>
    <w:rsid w:val="007C5444"/>
    <w:rsid w:val="007C5F54"/>
    <w:rsid w:val="007C74BE"/>
    <w:rsid w:val="007D0087"/>
    <w:rsid w:val="007D0724"/>
    <w:rsid w:val="007D1A88"/>
    <w:rsid w:val="007D1ECF"/>
    <w:rsid w:val="007D2450"/>
    <w:rsid w:val="007D5193"/>
    <w:rsid w:val="007D5CE6"/>
    <w:rsid w:val="007D6486"/>
    <w:rsid w:val="007D64AF"/>
    <w:rsid w:val="007D64B1"/>
    <w:rsid w:val="007D6D87"/>
    <w:rsid w:val="007E086E"/>
    <w:rsid w:val="007E0EF1"/>
    <w:rsid w:val="007E14B0"/>
    <w:rsid w:val="007E1FAB"/>
    <w:rsid w:val="007E30DB"/>
    <w:rsid w:val="007E3265"/>
    <w:rsid w:val="007E3536"/>
    <w:rsid w:val="007E369A"/>
    <w:rsid w:val="007E547A"/>
    <w:rsid w:val="007E54CB"/>
    <w:rsid w:val="007E7A6B"/>
    <w:rsid w:val="007E7DE2"/>
    <w:rsid w:val="007E7F41"/>
    <w:rsid w:val="007F0CD9"/>
    <w:rsid w:val="007F3AAE"/>
    <w:rsid w:val="007F40FC"/>
    <w:rsid w:val="007F434C"/>
    <w:rsid w:val="007F46FD"/>
    <w:rsid w:val="007F685B"/>
    <w:rsid w:val="007F7CA5"/>
    <w:rsid w:val="00800224"/>
    <w:rsid w:val="00800C9C"/>
    <w:rsid w:val="00801572"/>
    <w:rsid w:val="0080255B"/>
    <w:rsid w:val="00804CD0"/>
    <w:rsid w:val="00804E2F"/>
    <w:rsid w:val="008051EC"/>
    <w:rsid w:val="0080586C"/>
    <w:rsid w:val="00806626"/>
    <w:rsid w:val="00806974"/>
    <w:rsid w:val="00806E56"/>
    <w:rsid w:val="008076B2"/>
    <w:rsid w:val="00810C51"/>
    <w:rsid w:val="008112AE"/>
    <w:rsid w:val="008117A9"/>
    <w:rsid w:val="008117CA"/>
    <w:rsid w:val="00811BFA"/>
    <w:rsid w:val="00812F75"/>
    <w:rsid w:val="008130DD"/>
    <w:rsid w:val="00813954"/>
    <w:rsid w:val="00813995"/>
    <w:rsid w:val="00813FE0"/>
    <w:rsid w:val="00814628"/>
    <w:rsid w:val="008156CE"/>
    <w:rsid w:val="00815ED8"/>
    <w:rsid w:val="008169DD"/>
    <w:rsid w:val="00816AD3"/>
    <w:rsid w:val="0082015C"/>
    <w:rsid w:val="0082018D"/>
    <w:rsid w:val="0082116D"/>
    <w:rsid w:val="008213E0"/>
    <w:rsid w:val="00821F1A"/>
    <w:rsid w:val="00822124"/>
    <w:rsid w:val="00822619"/>
    <w:rsid w:val="00822730"/>
    <w:rsid w:val="00822D06"/>
    <w:rsid w:val="00823432"/>
    <w:rsid w:val="00823E24"/>
    <w:rsid w:val="00824533"/>
    <w:rsid w:val="00824772"/>
    <w:rsid w:val="00824AA2"/>
    <w:rsid w:val="00825FF8"/>
    <w:rsid w:val="00826606"/>
    <w:rsid w:val="00831089"/>
    <w:rsid w:val="00833265"/>
    <w:rsid w:val="00833DD0"/>
    <w:rsid w:val="008361B1"/>
    <w:rsid w:val="0083628F"/>
    <w:rsid w:val="00836ABE"/>
    <w:rsid w:val="00840FEC"/>
    <w:rsid w:val="00841C0E"/>
    <w:rsid w:val="00841CB7"/>
    <w:rsid w:val="00842D2F"/>
    <w:rsid w:val="008433E8"/>
    <w:rsid w:val="0084544F"/>
    <w:rsid w:val="0084671C"/>
    <w:rsid w:val="008469CE"/>
    <w:rsid w:val="00846F4A"/>
    <w:rsid w:val="008477F2"/>
    <w:rsid w:val="00847B96"/>
    <w:rsid w:val="008500FF"/>
    <w:rsid w:val="00850DF2"/>
    <w:rsid w:val="00851144"/>
    <w:rsid w:val="00851225"/>
    <w:rsid w:val="008515D3"/>
    <w:rsid w:val="0085176B"/>
    <w:rsid w:val="00851A0D"/>
    <w:rsid w:val="00851B01"/>
    <w:rsid w:val="00851B51"/>
    <w:rsid w:val="00852AFC"/>
    <w:rsid w:val="00852F83"/>
    <w:rsid w:val="00853391"/>
    <w:rsid w:val="00853FFB"/>
    <w:rsid w:val="00854E37"/>
    <w:rsid w:val="0085599D"/>
    <w:rsid w:val="00855C1D"/>
    <w:rsid w:val="0085675E"/>
    <w:rsid w:val="00856909"/>
    <w:rsid w:val="008570F6"/>
    <w:rsid w:val="00857F13"/>
    <w:rsid w:val="00860638"/>
    <w:rsid w:val="00860DAC"/>
    <w:rsid w:val="00862B4B"/>
    <w:rsid w:val="0086348B"/>
    <w:rsid w:val="00863EED"/>
    <w:rsid w:val="0086481E"/>
    <w:rsid w:val="0086490E"/>
    <w:rsid w:val="00865C1E"/>
    <w:rsid w:val="00865E1E"/>
    <w:rsid w:val="00866293"/>
    <w:rsid w:val="00866607"/>
    <w:rsid w:val="0086695E"/>
    <w:rsid w:val="00867EE8"/>
    <w:rsid w:val="0087069B"/>
    <w:rsid w:val="00870951"/>
    <w:rsid w:val="00871329"/>
    <w:rsid w:val="00871DD1"/>
    <w:rsid w:val="00872AE0"/>
    <w:rsid w:val="00873602"/>
    <w:rsid w:val="00873C99"/>
    <w:rsid w:val="008760E6"/>
    <w:rsid w:val="00876A09"/>
    <w:rsid w:val="00877423"/>
    <w:rsid w:val="00877EB8"/>
    <w:rsid w:val="00877FB3"/>
    <w:rsid w:val="00880063"/>
    <w:rsid w:val="00880208"/>
    <w:rsid w:val="00880F97"/>
    <w:rsid w:val="00881DE5"/>
    <w:rsid w:val="00882069"/>
    <w:rsid w:val="00883BBD"/>
    <w:rsid w:val="008849D3"/>
    <w:rsid w:val="008849FD"/>
    <w:rsid w:val="00884E6C"/>
    <w:rsid w:val="0088577D"/>
    <w:rsid w:val="008861AC"/>
    <w:rsid w:val="008904C8"/>
    <w:rsid w:val="00890BF0"/>
    <w:rsid w:val="00890C5A"/>
    <w:rsid w:val="008912B6"/>
    <w:rsid w:val="0089151A"/>
    <w:rsid w:val="0089190D"/>
    <w:rsid w:val="00892A5B"/>
    <w:rsid w:val="00893223"/>
    <w:rsid w:val="0089365E"/>
    <w:rsid w:val="0089375D"/>
    <w:rsid w:val="0089504A"/>
    <w:rsid w:val="00895B75"/>
    <w:rsid w:val="00895E6C"/>
    <w:rsid w:val="0089651A"/>
    <w:rsid w:val="008979CE"/>
    <w:rsid w:val="00897EBC"/>
    <w:rsid w:val="008A0ACE"/>
    <w:rsid w:val="008A26E5"/>
    <w:rsid w:val="008A374A"/>
    <w:rsid w:val="008A3EA9"/>
    <w:rsid w:val="008A5B23"/>
    <w:rsid w:val="008A63A1"/>
    <w:rsid w:val="008A68BE"/>
    <w:rsid w:val="008A7892"/>
    <w:rsid w:val="008B0088"/>
    <w:rsid w:val="008B0B39"/>
    <w:rsid w:val="008B0CCC"/>
    <w:rsid w:val="008B3904"/>
    <w:rsid w:val="008B5123"/>
    <w:rsid w:val="008B5F69"/>
    <w:rsid w:val="008B6414"/>
    <w:rsid w:val="008B7B4A"/>
    <w:rsid w:val="008B7D50"/>
    <w:rsid w:val="008C0618"/>
    <w:rsid w:val="008C09FC"/>
    <w:rsid w:val="008C0A84"/>
    <w:rsid w:val="008C0AD5"/>
    <w:rsid w:val="008C1961"/>
    <w:rsid w:val="008C22BC"/>
    <w:rsid w:val="008C31F8"/>
    <w:rsid w:val="008C329D"/>
    <w:rsid w:val="008C376B"/>
    <w:rsid w:val="008C39AD"/>
    <w:rsid w:val="008C4AC4"/>
    <w:rsid w:val="008C4D67"/>
    <w:rsid w:val="008C4E44"/>
    <w:rsid w:val="008C5154"/>
    <w:rsid w:val="008C562E"/>
    <w:rsid w:val="008C6F55"/>
    <w:rsid w:val="008C785C"/>
    <w:rsid w:val="008C7B1B"/>
    <w:rsid w:val="008C7DA5"/>
    <w:rsid w:val="008D0410"/>
    <w:rsid w:val="008D0A4B"/>
    <w:rsid w:val="008D12C6"/>
    <w:rsid w:val="008D331E"/>
    <w:rsid w:val="008D447C"/>
    <w:rsid w:val="008D4CC3"/>
    <w:rsid w:val="008D5631"/>
    <w:rsid w:val="008D66C6"/>
    <w:rsid w:val="008D79D5"/>
    <w:rsid w:val="008E06C9"/>
    <w:rsid w:val="008E085C"/>
    <w:rsid w:val="008E0865"/>
    <w:rsid w:val="008E09CB"/>
    <w:rsid w:val="008E114E"/>
    <w:rsid w:val="008E194F"/>
    <w:rsid w:val="008E19C6"/>
    <w:rsid w:val="008E4B0C"/>
    <w:rsid w:val="008E5539"/>
    <w:rsid w:val="008E568A"/>
    <w:rsid w:val="008E65AD"/>
    <w:rsid w:val="008E65EF"/>
    <w:rsid w:val="008E6A3E"/>
    <w:rsid w:val="008E6A4D"/>
    <w:rsid w:val="008F0D7F"/>
    <w:rsid w:val="008F39F3"/>
    <w:rsid w:val="008F42A1"/>
    <w:rsid w:val="008F43E5"/>
    <w:rsid w:val="008F469F"/>
    <w:rsid w:val="008F5557"/>
    <w:rsid w:val="008F571E"/>
    <w:rsid w:val="008F62F7"/>
    <w:rsid w:val="008F651E"/>
    <w:rsid w:val="008F7C0E"/>
    <w:rsid w:val="009032AD"/>
    <w:rsid w:val="00904B14"/>
    <w:rsid w:val="00905175"/>
    <w:rsid w:val="00905429"/>
    <w:rsid w:val="00906538"/>
    <w:rsid w:val="009066C7"/>
    <w:rsid w:val="00907008"/>
    <w:rsid w:val="009070F9"/>
    <w:rsid w:val="0090796C"/>
    <w:rsid w:val="00907D8F"/>
    <w:rsid w:val="00910166"/>
    <w:rsid w:val="00910BA1"/>
    <w:rsid w:val="00911601"/>
    <w:rsid w:val="00912142"/>
    <w:rsid w:val="0091217A"/>
    <w:rsid w:val="00912544"/>
    <w:rsid w:val="00912745"/>
    <w:rsid w:val="00912C4B"/>
    <w:rsid w:val="00913F25"/>
    <w:rsid w:val="0091529E"/>
    <w:rsid w:val="00915542"/>
    <w:rsid w:val="00916565"/>
    <w:rsid w:val="0091752F"/>
    <w:rsid w:val="00917921"/>
    <w:rsid w:val="00917B9D"/>
    <w:rsid w:val="009200E2"/>
    <w:rsid w:val="0092050D"/>
    <w:rsid w:val="009205B2"/>
    <w:rsid w:val="00920B18"/>
    <w:rsid w:val="009216F0"/>
    <w:rsid w:val="00922E13"/>
    <w:rsid w:val="00923811"/>
    <w:rsid w:val="00925566"/>
    <w:rsid w:val="00926004"/>
    <w:rsid w:val="00926B84"/>
    <w:rsid w:val="00926D2F"/>
    <w:rsid w:val="009306BD"/>
    <w:rsid w:val="009307AA"/>
    <w:rsid w:val="00930BC7"/>
    <w:rsid w:val="0093185C"/>
    <w:rsid w:val="00931A03"/>
    <w:rsid w:val="0093265E"/>
    <w:rsid w:val="00932F91"/>
    <w:rsid w:val="00933C5F"/>
    <w:rsid w:val="00933DBA"/>
    <w:rsid w:val="009365BB"/>
    <w:rsid w:val="00936F08"/>
    <w:rsid w:val="00937DCD"/>
    <w:rsid w:val="00941045"/>
    <w:rsid w:val="009410D0"/>
    <w:rsid w:val="0094163F"/>
    <w:rsid w:val="009431CD"/>
    <w:rsid w:val="009437FE"/>
    <w:rsid w:val="00945304"/>
    <w:rsid w:val="00946EA9"/>
    <w:rsid w:val="00946EFB"/>
    <w:rsid w:val="0094756E"/>
    <w:rsid w:val="00947F53"/>
    <w:rsid w:val="00951CA2"/>
    <w:rsid w:val="00951CE5"/>
    <w:rsid w:val="00952979"/>
    <w:rsid w:val="00954272"/>
    <w:rsid w:val="0095531D"/>
    <w:rsid w:val="00956648"/>
    <w:rsid w:val="00957EEA"/>
    <w:rsid w:val="00960195"/>
    <w:rsid w:val="0096067E"/>
    <w:rsid w:val="00960F95"/>
    <w:rsid w:val="00961309"/>
    <w:rsid w:val="00961D73"/>
    <w:rsid w:val="009636C4"/>
    <w:rsid w:val="00964012"/>
    <w:rsid w:val="009653A6"/>
    <w:rsid w:val="009657C0"/>
    <w:rsid w:val="00970079"/>
    <w:rsid w:val="00970FA4"/>
    <w:rsid w:val="0097166E"/>
    <w:rsid w:val="009725E3"/>
    <w:rsid w:val="0097332E"/>
    <w:rsid w:val="00973D2A"/>
    <w:rsid w:val="00973E87"/>
    <w:rsid w:val="00976CBC"/>
    <w:rsid w:val="00977864"/>
    <w:rsid w:val="00977E20"/>
    <w:rsid w:val="00977F10"/>
    <w:rsid w:val="00980335"/>
    <w:rsid w:val="009809A3"/>
    <w:rsid w:val="00980B65"/>
    <w:rsid w:val="00981113"/>
    <w:rsid w:val="00982587"/>
    <w:rsid w:val="0098389D"/>
    <w:rsid w:val="00984F34"/>
    <w:rsid w:val="00984F92"/>
    <w:rsid w:val="00985A57"/>
    <w:rsid w:val="00985B95"/>
    <w:rsid w:val="0098605A"/>
    <w:rsid w:val="0098641C"/>
    <w:rsid w:val="00987309"/>
    <w:rsid w:val="00987F3F"/>
    <w:rsid w:val="009901F4"/>
    <w:rsid w:val="009915AD"/>
    <w:rsid w:val="009915FD"/>
    <w:rsid w:val="00991A88"/>
    <w:rsid w:val="00992267"/>
    <w:rsid w:val="009925C6"/>
    <w:rsid w:val="009925F8"/>
    <w:rsid w:val="00992FB3"/>
    <w:rsid w:val="00994A40"/>
    <w:rsid w:val="00995938"/>
    <w:rsid w:val="00995996"/>
    <w:rsid w:val="00995C08"/>
    <w:rsid w:val="00996B3E"/>
    <w:rsid w:val="009A0BAE"/>
    <w:rsid w:val="009A0F26"/>
    <w:rsid w:val="009A14FC"/>
    <w:rsid w:val="009A2D9E"/>
    <w:rsid w:val="009A360A"/>
    <w:rsid w:val="009A3617"/>
    <w:rsid w:val="009A3BF0"/>
    <w:rsid w:val="009A443E"/>
    <w:rsid w:val="009A47D3"/>
    <w:rsid w:val="009A650C"/>
    <w:rsid w:val="009A6BB2"/>
    <w:rsid w:val="009A6D68"/>
    <w:rsid w:val="009A6F77"/>
    <w:rsid w:val="009A7271"/>
    <w:rsid w:val="009A74AE"/>
    <w:rsid w:val="009A78BF"/>
    <w:rsid w:val="009B0827"/>
    <w:rsid w:val="009B099D"/>
    <w:rsid w:val="009B159F"/>
    <w:rsid w:val="009B3E9C"/>
    <w:rsid w:val="009B4CDE"/>
    <w:rsid w:val="009B503B"/>
    <w:rsid w:val="009B50D8"/>
    <w:rsid w:val="009B57DC"/>
    <w:rsid w:val="009B585D"/>
    <w:rsid w:val="009B7C7D"/>
    <w:rsid w:val="009C029C"/>
    <w:rsid w:val="009C2B89"/>
    <w:rsid w:val="009C2E9D"/>
    <w:rsid w:val="009C309E"/>
    <w:rsid w:val="009C38E1"/>
    <w:rsid w:val="009C57DB"/>
    <w:rsid w:val="009C5812"/>
    <w:rsid w:val="009C5980"/>
    <w:rsid w:val="009C6F79"/>
    <w:rsid w:val="009C7B3B"/>
    <w:rsid w:val="009C7D73"/>
    <w:rsid w:val="009C7FB7"/>
    <w:rsid w:val="009D0D0E"/>
    <w:rsid w:val="009D0DF4"/>
    <w:rsid w:val="009D1C53"/>
    <w:rsid w:val="009D2481"/>
    <w:rsid w:val="009D255A"/>
    <w:rsid w:val="009D3CBA"/>
    <w:rsid w:val="009D4E21"/>
    <w:rsid w:val="009D5E6C"/>
    <w:rsid w:val="009D6120"/>
    <w:rsid w:val="009D7F40"/>
    <w:rsid w:val="009E0522"/>
    <w:rsid w:val="009E16C5"/>
    <w:rsid w:val="009E19BE"/>
    <w:rsid w:val="009E1C96"/>
    <w:rsid w:val="009E2348"/>
    <w:rsid w:val="009E29B0"/>
    <w:rsid w:val="009E2D10"/>
    <w:rsid w:val="009E2E48"/>
    <w:rsid w:val="009E3077"/>
    <w:rsid w:val="009E320B"/>
    <w:rsid w:val="009E3D13"/>
    <w:rsid w:val="009E43A6"/>
    <w:rsid w:val="009E507E"/>
    <w:rsid w:val="009E54E8"/>
    <w:rsid w:val="009E5656"/>
    <w:rsid w:val="009E5C61"/>
    <w:rsid w:val="009E5EC6"/>
    <w:rsid w:val="009E6C39"/>
    <w:rsid w:val="009E7483"/>
    <w:rsid w:val="009F04F4"/>
    <w:rsid w:val="009F1097"/>
    <w:rsid w:val="009F29A3"/>
    <w:rsid w:val="009F3316"/>
    <w:rsid w:val="009F3AD5"/>
    <w:rsid w:val="009F3F2D"/>
    <w:rsid w:val="009F445C"/>
    <w:rsid w:val="009F5116"/>
    <w:rsid w:val="009F691E"/>
    <w:rsid w:val="009F74D2"/>
    <w:rsid w:val="009F750C"/>
    <w:rsid w:val="009F7A26"/>
    <w:rsid w:val="009F7D9C"/>
    <w:rsid w:val="00A00A4A"/>
    <w:rsid w:val="00A022E3"/>
    <w:rsid w:val="00A02CFB"/>
    <w:rsid w:val="00A03AF7"/>
    <w:rsid w:val="00A043E8"/>
    <w:rsid w:val="00A04532"/>
    <w:rsid w:val="00A04A17"/>
    <w:rsid w:val="00A0518D"/>
    <w:rsid w:val="00A053E7"/>
    <w:rsid w:val="00A054FE"/>
    <w:rsid w:val="00A10ED5"/>
    <w:rsid w:val="00A11640"/>
    <w:rsid w:val="00A11728"/>
    <w:rsid w:val="00A128DD"/>
    <w:rsid w:val="00A12DF6"/>
    <w:rsid w:val="00A1334F"/>
    <w:rsid w:val="00A1398E"/>
    <w:rsid w:val="00A14314"/>
    <w:rsid w:val="00A1567D"/>
    <w:rsid w:val="00A16093"/>
    <w:rsid w:val="00A163B1"/>
    <w:rsid w:val="00A165A6"/>
    <w:rsid w:val="00A169DC"/>
    <w:rsid w:val="00A16AE5"/>
    <w:rsid w:val="00A16BCA"/>
    <w:rsid w:val="00A1719C"/>
    <w:rsid w:val="00A175CD"/>
    <w:rsid w:val="00A200FC"/>
    <w:rsid w:val="00A20300"/>
    <w:rsid w:val="00A20B4F"/>
    <w:rsid w:val="00A20DC6"/>
    <w:rsid w:val="00A221EE"/>
    <w:rsid w:val="00A23C54"/>
    <w:rsid w:val="00A24368"/>
    <w:rsid w:val="00A25884"/>
    <w:rsid w:val="00A25CB5"/>
    <w:rsid w:val="00A26B35"/>
    <w:rsid w:val="00A277A4"/>
    <w:rsid w:val="00A277C9"/>
    <w:rsid w:val="00A27C38"/>
    <w:rsid w:val="00A30BD9"/>
    <w:rsid w:val="00A30F52"/>
    <w:rsid w:val="00A31610"/>
    <w:rsid w:val="00A31702"/>
    <w:rsid w:val="00A332E1"/>
    <w:rsid w:val="00A34C01"/>
    <w:rsid w:val="00A36088"/>
    <w:rsid w:val="00A36228"/>
    <w:rsid w:val="00A362D7"/>
    <w:rsid w:val="00A3657C"/>
    <w:rsid w:val="00A36CC4"/>
    <w:rsid w:val="00A37103"/>
    <w:rsid w:val="00A417BE"/>
    <w:rsid w:val="00A420F7"/>
    <w:rsid w:val="00A43247"/>
    <w:rsid w:val="00A43AD8"/>
    <w:rsid w:val="00A43C08"/>
    <w:rsid w:val="00A43DAE"/>
    <w:rsid w:val="00A43F0A"/>
    <w:rsid w:val="00A4490A"/>
    <w:rsid w:val="00A44D3C"/>
    <w:rsid w:val="00A45125"/>
    <w:rsid w:val="00A46957"/>
    <w:rsid w:val="00A46FA5"/>
    <w:rsid w:val="00A4744A"/>
    <w:rsid w:val="00A51418"/>
    <w:rsid w:val="00A51F27"/>
    <w:rsid w:val="00A53647"/>
    <w:rsid w:val="00A54394"/>
    <w:rsid w:val="00A54D7D"/>
    <w:rsid w:val="00A55728"/>
    <w:rsid w:val="00A560FB"/>
    <w:rsid w:val="00A57CEC"/>
    <w:rsid w:val="00A61BA7"/>
    <w:rsid w:val="00A628D8"/>
    <w:rsid w:val="00A63F74"/>
    <w:rsid w:val="00A64289"/>
    <w:rsid w:val="00A65125"/>
    <w:rsid w:val="00A663CE"/>
    <w:rsid w:val="00A671DD"/>
    <w:rsid w:val="00A672BA"/>
    <w:rsid w:val="00A673C0"/>
    <w:rsid w:val="00A6755E"/>
    <w:rsid w:val="00A67713"/>
    <w:rsid w:val="00A70A4D"/>
    <w:rsid w:val="00A71E1D"/>
    <w:rsid w:val="00A7202F"/>
    <w:rsid w:val="00A72D8D"/>
    <w:rsid w:val="00A73177"/>
    <w:rsid w:val="00A769D0"/>
    <w:rsid w:val="00A76E31"/>
    <w:rsid w:val="00A77382"/>
    <w:rsid w:val="00A77CC0"/>
    <w:rsid w:val="00A80ADA"/>
    <w:rsid w:val="00A81406"/>
    <w:rsid w:val="00A8150D"/>
    <w:rsid w:val="00A81727"/>
    <w:rsid w:val="00A83431"/>
    <w:rsid w:val="00A83BD5"/>
    <w:rsid w:val="00A8555D"/>
    <w:rsid w:val="00A86235"/>
    <w:rsid w:val="00A86252"/>
    <w:rsid w:val="00A8683D"/>
    <w:rsid w:val="00A86B30"/>
    <w:rsid w:val="00A90023"/>
    <w:rsid w:val="00A914E0"/>
    <w:rsid w:val="00A916FD"/>
    <w:rsid w:val="00A91CFB"/>
    <w:rsid w:val="00A91F9B"/>
    <w:rsid w:val="00A9359C"/>
    <w:rsid w:val="00A93941"/>
    <w:rsid w:val="00A94C07"/>
    <w:rsid w:val="00A95D31"/>
    <w:rsid w:val="00A9677E"/>
    <w:rsid w:val="00A975DE"/>
    <w:rsid w:val="00AA1D59"/>
    <w:rsid w:val="00AA2CA6"/>
    <w:rsid w:val="00AA2DB6"/>
    <w:rsid w:val="00AA31AE"/>
    <w:rsid w:val="00AA3810"/>
    <w:rsid w:val="00AA3927"/>
    <w:rsid w:val="00AA4122"/>
    <w:rsid w:val="00AA4AFA"/>
    <w:rsid w:val="00AA5FA0"/>
    <w:rsid w:val="00AA6DC4"/>
    <w:rsid w:val="00AA6F24"/>
    <w:rsid w:val="00AB03C5"/>
    <w:rsid w:val="00AB15CF"/>
    <w:rsid w:val="00AB4429"/>
    <w:rsid w:val="00AB4970"/>
    <w:rsid w:val="00AB4F2A"/>
    <w:rsid w:val="00AB4F52"/>
    <w:rsid w:val="00AB537A"/>
    <w:rsid w:val="00AB56B2"/>
    <w:rsid w:val="00AB59C1"/>
    <w:rsid w:val="00AB6518"/>
    <w:rsid w:val="00AB6DF1"/>
    <w:rsid w:val="00AB72ED"/>
    <w:rsid w:val="00AB7F6A"/>
    <w:rsid w:val="00AC232D"/>
    <w:rsid w:val="00AC31E6"/>
    <w:rsid w:val="00AC410E"/>
    <w:rsid w:val="00AC4B47"/>
    <w:rsid w:val="00AC56AB"/>
    <w:rsid w:val="00AC5898"/>
    <w:rsid w:val="00AC6119"/>
    <w:rsid w:val="00AC67CD"/>
    <w:rsid w:val="00AC6CAA"/>
    <w:rsid w:val="00AC6EAF"/>
    <w:rsid w:val="00AC7B5D"/>
    <w:rsid w:val="00AC7C46"/>
    <w:rsid w:val="00AC7CF8"/>
    <w:rsid w:val="00AD03AC"/>
    <w:rsid w:val="00AD050E"/>
    <w:rsid w:val="00AD0B24"/>
    <w:rsid w:val="00AD0B81"/>
    <w:rsid w:val="00AD1AC2"/>
    <w:rsid w:val="00AD202F"/>
    <w:rsid w:val="00AD2E2F"/>
    <w:rsid w:val="00AD2F0F"/>
    <w:rsid w:val="00AD3127"/>
    <w:rsid w:val="00AD38EC"/>
    <w:rsid w:val="00AD4445"/>
    <w:rsid w:val="00AD4B38"/>
    <w:rsid w:val="00AD4CE2"/>
    <w:rsid w:val="00AD4F87"/>
    <w:rsid w:val="00AD589B"/>
    <w:rsid w:val="00AD5C97"/>
    <w:rsid w:val="00AD5FDA"/>
    <w:rsid w:val="00AD66AC"/>
    <w:rsid w:val="00AD6DB5"/>
    <w:rsid w:val="00AD7D24"/>
    <w:rsid w:val="00AE0E92"/>
    <w:rsid w:val="00AE100F"/>
    <w:rsid w:val="00AE16AE"/>
    <w:rsid w:val="00AE20BB"/>
    <w:rsid w:val="00AE37AB"/>
    <w:rsid w:val="00AE3D9D"/>
    <w:rsid w:val="00AE498A"/>
    <w:rsid w:val="00AE5EA3"/>
    <w:rsid w:val="00AE7587"/>
    <w:rsid w:val="00AE7E32"/>
    <w:rsid w:val="00AF0F5B"/>
    <w:rsid w:val="00AF1208"/>
    <w:rsid w:val="00AF1F30"/>
    <w:rsid w:val="00AF250C"/>
    <w:rsid w:val="00AF289B"/>
    <w:rsid w:val="00AF2A65"/>
    <w:rsid w:val="00AF2F8E"/>
    <w:rsid w:val="00AF3095"/>
    <w:rsid w:val="00AF46B5"/>
    <w:rsid w:val="00AF4B5F"/>
    <w:rsid w:val="00AF4E3B"/>
    <w:rsid w:val="00AF4EFC"/>
    <w:rsid w:val="00AF52D5"/>
    <w:rsid w:val="00AF566B"/>
    <w:rsid w:val="00AF5B80"/>
    <w:rsid w:val="00AF5BAA"/>
    <w:rsid w:val="00AF5D43"/>
    <w:rsid w:val="00AF78CD"/>
    <w:rsid w:val="00B005A8"/>
    <w:rsid w:val="00B0087A"/>
    <w:rsid w:val="00B01CF9"/>
    <w:rsid w:val="00B03588"/>
    <w:rsid w:val="00B03858"/>
    <w:rsid w:val="00B03A04"/>
    <w:rsid w:val="00B03C57"/>
    <w:rsid w:val="00B03C84"/>
    <w:rsid w:val="00B04FF9"/>
    <w:rsid w:val="00B050D3"/>
    <w:rsid w:val="00B05188"/>
    <w:rsid w:val="00B057A9"/>
    <w:rsid w:val="00B06228"/>
    <w:rsid w:val="00B06445"/>
    <w:rsid w:val="00B06855"/>
    <w:rsid w:val="00B07621"/>
    <w:rsid w:val="00B1066F"/>
    <w:rsid w:val="00B1253E"/>
    <w:rsid w:val="00B14B18"/>
    <w:rsid w:val="00B1507F"/>
    <w:rsid w:val="00B152B1"/>
    <w:rsid w:val="00B15688"/>
    <w:rsid w:val="00B16573"/>
    <w:rsid w:val="00B16BD3"/>
    <w:rsid w:val="00B2186D"/>
    <w:rsid w:val="00B21A6A"/>
    <w:rsid w:val="00B224C9"/>
    <w:rsid w:val="00B22806"/>
    <w:rsid w:val="00B239AA"/>
    <w:rsid w:val="00B23D4F"/>
    <w:rsid w:val="00B24E49"/>
    <w:rsid w:val="00B252DC"/>
    <w:rsid w:val="00B253F0"/>
    <w:rsid w:val="00B256C0"/>
    <w:rsid w:val="00B257BF"/>
    <w:rsid w:val="00B25C3D"/>
    <w:rsid w:val="00B265A0"/>
    <w:rsid w:val="00B26822"/>
    <w:rsid w:val="00B27005"/>
    <w:rsid w:val="00B27529"/>
    <w:rsid w:val="00B27DF3"/>
    <w:rsid w:val="00B301B8"/>
    <w:rsid w:val="00B304B6"/>
    <w:rsid w:val="00B315BC"/>
    <w:rsid w:val="00B32485"/>
    <w:rsid w:val="00B327ED"/>
    <w:rsid w:val="00B33813"/>
    <w:rsid w:val="00B33937"/>
    <w:rsid w:val="00B349B4"/>
    <w:rsid w:val="00B3518F"/>
    <w:rsid w:val="00B35C21"/>
    <w:rsid w:val="00B36209"/>
    <w:rsid w:val="00B375D5"/>
    <w:rsid w:val="00B377A8"/>
    <w:rsid w:val="00B407BE"/>
    <w:rsid w:val="00B40C90"/>
    <w:rsid w:val="00B4215B"/>
    <w:rsid w:val="00B423CB"/>
    <w:rsid w:val="00B43735"/>
    <w:rsid w:val="00B437A0"/>
    <w:rsid w:val="00B43925"/>
    <w:rsid w:val="00B43EC6"/>
    <w:rsid w:val="00B44756"/>
    <w:rsid w:val="00B44B9B"/>
    <w:rsid w:val="00B4509B"/>
    <w:rsid w:val="00B45704"/>
    <w:rsid w:val="00B45FA4"/>
    <w:rsid w:val="00B460A9"/>
    <w:rsid w:val="00B460F3"/>
    <w:rsid w:val="00B46745"/>
    <w:rsid w:val="00B46A8A"/>
    <w:rsid w:val="00B476D3"/>
    <w:rsid w:val="00B50FB0"/>
    <w:rsid w:val="00B5177F"/>
    <w:rsid w:val="00B52921"/>
    <w:rsid w:val="00B5299F"/>
    <w:rsid w:val="00B53C29"/>
    <w:rsid w:val="00B54D2D"/>
    <w:rsid w:val="00B55338"/>
    <w:rsid w:val="00B556AF"/>
    <w:rsid w:val="00B57AFF"/>
    <w:rsid w:val="00B57E3B"/>
    <w:rsid w:val="00B60916"/>
    <w:rsid w:val="00B60F49"/>
    <w:rsid w:val="00B61376"/>
    <w:rsid w:val="00B630F0"/>
    <w:rsid w:val="00B63238"/>
    <w:rsid w:val="00B6389C"/>
    <w:rsid w:val="00B643AA"/>
    <w:rsid w:val="00B660EB"/>
    <w:rsid w:val="00B668F0"/>
    <w:rsid w:val="00B67267"/>
    <w:rsid w:val="00B67A1A"/>
    <w:rsid w:val="00B67CEF"/>
    <w:rsid w:val="00B70137"/>
    <w:rsid w:val="00B70449"/>
    <w:rsid w:val="00B71E2F"/>
    <w:rsid w:val="00B7305F"/>
    <w:rsid w:val="00B7338B"/>
    <w:rsid w:val="00B73752"/>
    <w:rsid w:val="00B737B2"/>
    <w:rsid w:val="00B7414F"/>
    <w:rsid w:val="00B7473D"/>
    <w:rsid w:val="00B74938"/>
    <w:rsid w:val="00B75564"/>
    <w:rsid w:val="00B75831"/>
    <w:rsid w:val="00B75F1F"/>
    <w:rsid w:val="00B7605D"/>
    <w:rsid w:val="00B76942"/>
    <w:rsid w:val="00B77185"/>
    <w:rsid w:val="00B824A3"/>
    <w:rsid w:val="00B8373C"/>
    <w:rsid w:val="00B84074"/>
    <w:rsid w:val="00B85C6D"/>
    <w:rsid w:val="00B86118"/>
    <w:rsid w:val="00B863CF"/>
    <w:rsid w:val="00B8721C"/>
    <w:rsid w:val="00B8744E"/>
    <w:rsid w:val="00B87AE3"/>
    <w:rsid w:val="00B90317"/>
    <w:rsid w:val="00B90945"/>
    <w:rsid w:val="00B91572"/>
    <w:rsid w:val="00B92F3A"/>
    <w:rsid w:val="00B937C7"/>
    <w:rsid w:val="00B93C54"/>
    <w:rsid w:val="00B94D68"/>
    <w:rsid w:val="00B9543E"/>
    <w:rsid w:val="00B9555A"/>
    <w:rsid w:val="00B95805"/>
    <w:rsid w:val="00B958B7"/>
    <w:rsid w:val="00B95B23"/>
    <w:rsid w:val="00B9640D"/>
    <w:rsid w:val="00B975A5"/>
    <w:rsid w:val="00B9785B"/>
    <w:rsid w:val="00B97CC0"/>
    <w:rsid w:val="00BA0A17"/>
    <w:rsid w:val="00BA0EC4"/>
    <w:rsid w:val="00BA1DE8"/>
    <w:rsid w:val="00BA243F"/>
    <w:rsid w:val="00BA25AF"/>
    <w:rsid w:val="00BA2DE9"/>
    <w:rsid w:val="00BA305D"/>
    <w:rsid w:val="00BA428C"/>
    <w:rsid w:val="00BA4611"/>
    <w:rsid w:val="00BA491F"/>
    <w:rsid w:val="00BA5FA7"/>
    <w:rsid w:val="00BA629F"/>
    <w:rsid w:val="00BA718A"/>
    <w:rsid w:val="00BA789C"/>
    <w:rsid w:val="00BA7FF7"/>
    <w:rsid w:val="00BB03CE"/>
    <w:rsid w:val="00BB0455"/>
    <w:rsid w:val="00BB050B"/>
    <w:rsid w:val="00BB0D86"/>
    <w:rsid w:val="00BB1406"/>
    <w:rsid w:val="00BB1E46"/>
    <w:rsid w:val="00BB353D"/>
    <w:rsid w:val="00BB4917"/>
    <w:rsid w:val="00BB4EF0"/>
    <w:rsid w:val="00BB55A1"/>
    <w:rsid w:val="00BB57A8"/>
    <w:rsid w:val="00BB71BD"/>
    <w:rsid w:val="00BB7B29"/>
    <w:rsid w:val="00BB7EC9"/>
    <w:rsid w:val="00BC0216"/>
    <w:rsid w:val="00BC0DC4"/>
    <w:rsid w:val="00BC0F14"/>
    <w:rsid w:val="00BC0F27"/>
    <w:rsid w:val="00BC1562"/>
    <w:rsid w:val="00BC2AAF"/>
    <w:rsid w:val="00BC3BF1"/>
    <w:rsid w:val="00BC5177"/>
    <w:rsid w:val="00BC5756"/>
    <w:rsid w:val="00BC5FD2"/>
    <w:rsid w:val="00BC7BF1"/>
    <w:rsid w:val="00BD0286"/>
    <w:rsid w:val="00BD0614"/>
    <w:rsid w:val="00BD15AF"/>
    <w:rsid w:val="00BD180F"/>
    <w:rsid w:val="00BD272D"/>
    <w:rsid w:val="00BD4BF2"/>
    <w:rsid w:val="00BD5235"/>
    <w:rsid w:val="00BD547E"/>
    <w:rsid w:val="00BD54F3"/>
    <w:rsid w:val="00BD5B27"/>
    <w:rsid w:val="00BD6696"/>
    <w:rsid w:val="00BD6904"/>
    <w:rsid w:val="00BD6F60"/>
    <w:rsid w:val="00BD6FFD"/>
    <w:rsid w:val="00BE0128"/>
    <w:rsid w:val="00BE0B11"/>
    <w:rsid w:val="00BE0CD2"/>
    <w:rsid w:val="00BE17AE"/>
    <w:rsid w:val="00BE25FB"/>
    <w:rsid w:val="00BE3300"/>
    <w:rsid w:val="00BE3B17"/>
    <w:rsid w:val="00BE40FA"/>
    <w:rsid w:val="00BE43C4"/>
    <w:rsid w:val="00BE4B28"/>
    <w:rsid w:val="00BE5304"/>
    <w:rsid w:val="00BE542F"/>
    <w:rsid w:val="00BE55FA"/>
    <w:rsid w:val="00BE5E3D"/>
    <w:rsid w:val="00BE5FF8"/>
    <w:rsid w:val="00BE6E09"/>
    <w:rsid w:val="00BE71AF"/>
    <w:rsid w:val="00BF0509"/>
    <w:rsid w:val="00BF0671"/>
    <w:rsid w:val="00BF0CB3"/>
    <w:rsid w:val="00BF1087"/>
    <w:rsid w:val="00BF110A"/>
    <w:rsid w:val="00BF166B"/>
    <w:rsid w:val="00BF190D"/>
    <w:rsid w:val="00BF26FD"/>
    <w:rsid w:val="00BF32AF"/>
    <w:rsid w:val="00BF3C96"/>
    <w:rsid w:val="00BF41D3"/>
    <w:rsid w:val="00BF66C1"/>
    <w:rsid w:val="00BF68EE"/>
    <w:rsid w:val="00BF6C6A"/>
    <w:rsid w:val="00BF7C82"/>
    <w:rsid w:val="00BF7D0C"/>
    <w:rsid w:val="00C00C5B"/>
    <w:rsid w:val="00C00DCE"/>
    <w:rsid w:val="00C00F6A"/>
    <w:rsid w:val="00C01D33"/>
    <w:rsid w:val="00C022A7"/>
    <w:rsid w:val="00C052F0"/>
    <w:rsid w:val="00C05805"/>
    <w:rsid w:val="00C0589A"/>
    <w:rsid w:val="00C05E3B"/>
    <w:rsid w:val="00C06CC0"/>
    <w:rsid w:val="00C06F92"/>
    <w:rsid w:val="00C06FAE"/>
    <w:rsid w:val="00C074D3"/>
    <w:rsid w:val="00C07E21"/>
    <w:rsid w:val="00C07F63"/>
    <w:rsid w:val="00C10113"/>
    <w:rsid w:val="00C116E3"/>
    <w:rsid w:val="00C11C0C"/>
    <w:rsid w:val="00C12473"/>
    <w:rsid w:val="00C1294B"/>
    <w:rsid w:val="00C12FAE"/>
    <w:rsid w:val="00C133CD"/>
    <w:rsid w:val="00C1347B"/>
    <w:rsid w:val="00C14372"/>
    <w:rsid w:val="00C148DD"/>
    <w:rsid w:val="00C15058"/>
    <w:rsid w:val="00C15C2B"/>
    <w:rsid w:val="00C167AB"/>
    <w:rsid w:val="00C1785B"/>
    <w:rsid w:val="00C20858"/>
    <w:rsid w:val="00C216EA"/>
    <w:rsid w:val="00C22539"/>
    <w:rsid w:val="00C227BF"/>
    <w:rsid w:val="00C2323E"/>
    <w:rsid w:val="00C274C9"/>
    <w:rsid w:val="00C27560"/>
    <w:rsid w:val="00C27BED"/>
    <w:rsid w:val="00C30F45"/>
    <w:rsid w:val="00C317C8"/>
    <w:rsid w:val="00C31F1B"/>
    <w:rsid w:val="00C32B83"/>
    <w:rsid w:val="00C33285"/>
    <w:rsid w:val="00C3606F"/>
    <w:rsid w:val="00C367E5"/>
    <w:rsid w:val="00C37153"/>
    <w:rsid w:val="00C37B6E"/>
    <w:rsid w:val="00C430B8"/>
    <w:rsid w:val="00C44A2C"/>
    <w:rsid w:val="00C46143"/>
    <w:rsid w:val="00C46645"/>
    <w:rsid w:val="00C4698A"/>
    <w:rsid w:val="00C47202"/>
    <w:rsid w:val="00C47BCF"/>
    <w:rsid w:val="00C50594"/>
    <w:rsid w:val="00C50C22"/>
    <w:rsid w:val="00C5210A"/>
    <w:rsid w:val="00C52372"/>
    <w:rsid w:val="00C5242E"/>
    <w:rsid w:val="00C5255F"/>
    <w:rsid w:val="00C54272"/>
    <w:rsid w:val="00C56225"/>
    <w:rsid w:val="00C576C0"/>
    <w:rsid w:val="00C61E7B"/>
    <w:rsid w:val="00C62CCD"/>
    <w:rsid w:val="00C6359A"/>
    <w:rsid w:val="00C637B4"/>
    <w:rsid w:val="00C63892"/>
    <w:rsid w:val="00C64589"/>
    <w:rsid w:val="00C649BA"/>
    <w:rsid w:val="00C64BB6"/>
    <w:rsid w:val="00C6547F"/>
    <w:rsid w:val="00C654C5"/>
    <w:rsid w:val="00C65B3A"/>
    <w:rsid w:val="00C65CB4"/>
    <w:rsid w:val="00C66251"/>
    <w:rsid w:val="00C6627F"/>
    <w:rsid w:val="00C66365"/>
    <w:rsid w:val="00C66CCD"/>
    <w:rsid w:val="00C67BDC"/>
    <w:rsid w:val="00C705DA"/>
    <w:rsid w:val="00C70B0D"/>
    <w:rsid w:val="00C7177E"/>
    <w:rsid w:val="00C71D52"/>
    <w:rsid w:val="00C724B7"/>
    <w:rsid w:val="00C724D1"/>
    <w:rsid w:val="00C72CAE"/>
    <w:rsid w:val="00C73A3A"/>
    <w:rsid w:val="00C744D6"/>
    <w:rsid w:val="00C74BC8"/>
    <w:rsid w:val="00C74D3B"/>
    <w:rsid w:val="00C7529F"/>
    <w:rsid w:val="00C761E3"/>
    <w:rsid w:val="00C7650F"/>
    <w:rsid w:val="00C80D83"/>
    <w:rsid w:val="00C80F4E"/>
    <w:rsid w:val="00C81118"/>
    <w:rsid w:val="00C82B21"/>
    <w:rsid w:val="00C84B22"/>
    <w:rsid w:val="00C84C2F"/>
    <w:rsid w:val="00C854FD"/>
    <w:rsid w:val="00C8590B"/>
    <w:rsid w:val="00C86271"/>
    <w:rsid w:val="00C8694E"/>
    <w:rsid w:val="00C86DB9"/>
    <w:rsid w:val="00C87135"/>
    <w:rsid w:val="00C873A6"/>
    <w:rsid w:val="00C879C0"/>
    <w:rsid w:val="00C90717"/>
    <w:rsid w:val="00C90C24"/>
    <w:rsid w:val="00C91208"/>
    <w:rsid w:val="00C919DF"/>
    <w:rsid w:val="00C9202C"/>
    <w:rsid w:val="00C92720"/>
    <w:rsid w:val="00C92BCA"/>
    <w:rsid w:val="00C92CEB"/>
    <w:rsid w:val="00C935C3"/>
    <w:rsid w:val="00C9376E"/>
    <w:rsid w:val="00C93948"/>
    <w:rsid w:val="00C955B6"/>
    <w:rsid w:val="00C96391"/>
    <w:rsid w:val="00C963B6"/>
    <w:rsid w:val="00CA0360"/>
    <w:rsid w:val="00CA0F3B"/>
    <w:rsid w:val="00CA167D"/>
    <w:rsid w:val="00CA1B6E"/>
    <w:rsid w:val="00CA2698"/>
    <w:rsid w:val="00CA3192"/>
    <w:rsid w:val="00CA344A"/>
    <w:rsid w:val="00CA49C7"/>
    <w:rsid w:val="00CA5020"/>
    <w:rsid w:val="00CA548B"/>
    <w:rsid w:val="00CA6802"/>
    <w:rsid w:val="00CA6B44"/>
    <w:rsid w:val="00CA6C8B"/>
    <w:rsid w:val="00CB0832"/>
    <w:rsid w:val="00CB1AD0"/>
    <w:rsid w:val="00CB1B05"/>
    <w:rsid w:val="00CB27FA"/>
    <w:rsid w:val="00CB32A7"/>
    <w:rsid w:val="00CB375B"/>
    <w:rsid w:val="00CB6BE9"/>
    <w:rsid w:val="00CB7259"/>
    <w:rsid w:val="00CC03A7"/>
    <w:rsid w:val="00CC064C"/>
    <w:rsid w:val="00CC11B9"/>
    <w:rsid w:val="00CC2F81"/>
    <w:rsid w:val="00CC32EA"/>
    <w:rsid w:val="00CC5692"/>
    <w:rsid w:val="00CC56CD"/>
    <w:rsid w:val="00CC587E"/>
    <w:rsid w:val="00CC6CFC"/>
    <w:rsid w:val="00CC75CD"/>
    <w:rsid w:val="00CD21FA"/>
    <w:rsid w:val="00CD244B"/>
    <w:rsid w:val="00CD2D02"/>
    <w:rsid w:val="00CD2DEE"/>
    <w:rsid w:val="00CD389D"/>
    <w:rsid w:val="00CD3C15"/>
    <w:rsid w:val="00CD4425"/>
    <w:rsid w:val="00CD443C"/>
    <w:rsid w:val="00CD466B"/>
    <w:rsid w:val="00CD541C"/>
    <w:rsid w:val="00CD58C4"/>
    <w:rsid w:val="00CE03BD"/>
    <w:rsid w:val="00CE0852"/>
    <w:rsid w:val="00CE122F"/>
    <w:rsid w:val="00CE1529"/>
    <w:rsid w:val="00CE1CF0"/>
    <w:rsid w:val="00CE223D"/>
    <w:rsid w:val="00CE3CBB"/>
    <w:rsid w:val="00CE5269"/>
    <w:rsid w:val="00CE6F11"/>
    <w:rsid w:val="00CE71E1"/>
    <w:rsid w:val="00CE71E4"/>
    <w:rsid w:val="00CE74CA"/>
    <w:rsid w:val="00CE7C86"/>
    <w:rsid w:val="00CF06C8"/>
    <w:rsid w:val="00CF125B"/>
    <w:rsid w:val="00CF1C77"/>
    <w:rsid w:val="00CF1DBA"/>
    <w:rsid w:val="00CF2472"/>
    <w:rsid w:val="00CF2F16"/>
    <w:rsid w:val="00CF343D"/>
    <w:rsid w:val="00CF35F9"/>
    <w:rsid w:val="00CF4962"/>
    <w:rsid w:val="00CF4B31"/>
    <w:rsid w:val="00CF506E"/>
    <w:rsid w:val="00CF541A"/>
    <w:rsid w:val="00CF6999"/>
    <w:rsid w:val="00CF73ED"/>
    <w:rsid w:val="00D0068A"/>
    <w:rsid w:val="00D010FB"/>
    <w:rsid w:val="00D01D7F"/>
    <w:rsid w:val="00D02A71"/>
    <w:rsid w:val="00D02ADB"/>
    <w:rsid w:val="00D04251"/>
    <w:rsid w:val="00D04BEA"/>
    <w:rsid w:val="00D04F4A"/>
    <w:rsid w:val="00D06312"/>
    <w:rsid w:val="00D07C61"/>
    <w:rsid w:val="00D10240"/>
    <w:rsid w:val="00D104FF"/>
    <w:rsid w:val="00D11059"/>
    <w:rsid w:val="00D112F3"/>
    <w:rsid w:val="00D12512"/>
    <w:rsid w:val="00D127D6"/>
    <w:rsid w:val="00D13551"/>
    <w:rsid w:val="00D13E5A"/>
    <w:rsid w:val="00D140F2"/>
    <w:rsid w:val="00D14128"/>
    <w:rsid w:val="00D1447F"/>
    <w:rsid w:val="00D15910"/>
    <w:rsid w:val="00D15E53"/>
    <w:rsid w:val="00D165BF"/>
    <w:rsid w:val="00D168D8"/>
    <w:rsid w:val="00D17231"/>
    <w:rsid w:val="00D20BFD"/>
    <w:rsid w:val="00D21079"/>
    <w:rsid w:val="00D2139E"/>
    <w:rsid w:val="00D21B81"/>
    <w:rsid w:val="00D21CA3"/>
    <w:rsid w:val="00D21E8E"/>
    <w:rsid w:val="00D22946"/>
    <w:rsid w:val="00D24CBF"/>
    <w:rsid w:val="00D24EB7"/>
    <w:rsid w:val="00D24F60"/>
    <w:rsid w:val="00D2501A"/>
    <w:rsid w:val="00D2613B"/>
    <w:rsid w:val="00D26755"/>
    <w:rsid w:val="00D276B3"/>
    <w:rsid w:val="00D27FE9"/>
    <w:rsid w:val="00D30609"/>
    <w:rsid w:val="00D306EF"/>
    <w:rsid w:val="00D30BC0"/>
    <w:rsid w:val="00D3101A"/>
    <w:rsid w:val="00D31798"/>
    <w:rsid w:val="00D325C7"/>
    <w:rsid w:val="00D32A3A"/>
    <w:rsid w:val="00D3345A"/>
    <w:rsid w:val="00D33AA1"/>
    <w:rsid w:val="00D33BEE"/>
    <w:rsid w:val="00D34628"/>
    <w:rsid w:val="00D34A22"/>
    <w:rsid w:val="00D34D6E"/>
    <w:rsid w:val="00D35A6D"/>
    <w:rsid w:val="00D36481"/>
    <w:rsid w:val="00D405D9"/>
    <w:rsid w:val="00D40E82"/>
    <w:rsid w:val="00D41BAA"/>
    <w:rsid w:val="00D426BA"/>
    <w:rsid w:val="00D42921"/>
    <w:rsid w:val="00D4364F"/>
    <w:rsid w:val="00D4404C"/>
    <w:rsid w:val="00D44C56"/>
    <w:rsid w:val="00D45C71"/>
    <w:rsid w:val="00D46136"/>
    <w:rsid w:val="00D462D3"/>
    <w:rsid w:val="00D46364"/>
    <w:rsid w:val="00D46519"/>
    <w:rsid w:val="00D4674B"/>
    <w:rsid w:val="00D46B10"/>
    <w:rsid w:val="00D4778B"/>
    <w:rsid w:val="00D50CDD"/>
    <w:rsid w:val="00D512BE"/>
    <w:rsid w:val="00D52668"/>
    <w:rsid w:val="00D53364"/>
    <w:rsid w:val="00D54AE9"/>
    <w:rsid w:val="00D5512C"/>
    <w:rsid w:val="00D558A7"/>
    <w:rsid w:val="00D562C3"/>
    <w:rsid w:val="00D57082"/>
    <w:rsid w:val="00D5721D"/>
    <w:rsid w:val="00D57344"/>
    <w:rsid w:val="00D6059B"/>
    <w:rsid w:val="00D616CA"/>
    <w:rsid w:val="00D61998"/>
    <w:rsid w:val="00D61B0A"/>
    <w:rsid w:val="00D61DE1"/>
    <w:rsid w:val="00D62216"/>
    <w:rsid w:val="00D62D9F"/>
    <w:rsid w:val="00D642E0"/>
    <w:rsid w:val="00D64723"/>
    <w:rsid w:val="00D64FFF"/>
    <w:rsid w:val="00D65368"/>
    <w:rsid w:val="00D65BB3"/>
    <w:rsid w:val="00D65F56"/>
    <w:rsid w:val="00D6651B"/>
    <w:rsid w:val="00D66E9B"/>
    <w:rsid w:val="00D6721E"/>
    <w:rsid w:val="00D67C25"/>
    <w:rsid w:val="00D67D33"/>
    <w:rsid w:val="00D7076A"/>
    <w:rsid w:val="00D70BFB"/>
    <w:rsid w:val="00D7363C"/>
    <w:rsid w:val="00D73AB3"/>
    <w:rsid w:val="00D75433"/>
    <w:rsid w:val="00D770A7"/>
    <w:rsid w:val="00D77DCD"/>
    <w:rsid w:val="00D80829"/>
    <w:rsid w:val="00D81F7A"/>
    <w:rsid w:val="00D8291C"/>
    <w:rsid w:val="00D82FED"/>
    <w:rsid w:val="00D848CD"/>
    <w:rsid w:val="00D84AA9"/>
    <w:rsid w:val="00D84E1A"/>
    <w:rsid w:val="00D860C8"/>
    <w:rsid w:val="00D8648B"/>
    <w:rsid w:val="00D86E1D"/>
    <w:rsid w:val="00D91DF9"/>
    <w:rsid w:val="00D92A0C"/>
    <w:rsid w:val="00D933E0"/>
    <w:rsid w:val="00D95E17"/>
    <w:rsid w:val="00D962BB"/>
    <w:rsid w:val="00D9671E"/>
    <w:rsid w:val="00D96827"/>
    <w:rsid w:val="00D9684F"/>
    <w:rsid w:val="00D976E6"/>
    <w:rsid w:val="00D97AE5"/>
    <w:rsid w:val="00DA0A0A"/>
    <w:rsid w:val="00DA14BB"/>
    <w:rsid w:val="00DA16AD"/>
    <w:rsid w:val="00DA214C"/>
    <w:rsid w:val="00DA2A6F"/>
    <w:rsid w:val="00DA2DBA"/>
    <w:rsid w:val="00DA3CDF"/>
    <w:rsid w:val="00DA3E34"/>
    <w:rsid w:val="00DA54E5"/>
    <w:rsid w:val="00DA583F"/>
    <w:rsid w:val="00DA64A0"/>
    <w:rsid w:val="00DA7353"/>
    <w:rsid w:val="00DB08D3"/>
    <w:rsid w:val="00DB13E2"/>
    <w:rsid w:val="00DB24DB"/>
    <w:rsid w:val="00DB2A69"/>
    <w:rsid w:val="00DB2C53"/>
    <w:rsid w:val="00DB352B"/>
    <w:rsid w:val="00DB3E0F"/>
    <w:rsid w:val="00DB5B99"/>
    <w:rsid w:val="00DB63F6"/>
    <w:rsid w:val="00DB64DC"/>
    <w:rsid w:val="00DB66FB"/>
    <w:rsid w:val="00DB79EC"/>
    <w:rsid w:val="00DC0012"/>
    <w:rsid w:val="00DC0B82"/>
    <w:rsid w:val="00DC1EA6"/>
    <w:rsid w:val="00DC2442"/>
    <w:rsid w:val="00DC2DF6"/>
    <w:rsid w:val="00DC2E14"/>
    <w:rsid w:val="00DC3684"/>
    <w:rsid w:val="00DC42C5"/>
    <w:rsid w:val="00DC5AE1"/>
    <w:rsid w:val="00DC7713"/>
    <w:rsid w:val="00DD04E9"/>
    <w:rsid w:val="00DD04F9"/>
    <w:rsid w:val="00DD19EA"/>
    <w:rsid w:val="00DD2100"/>
    <w:rsid w:val="00DD2282"/>
    <w:rsid w:val="00DD2997"/>
    <w:rsid w:val="00DD2BA6"/>
    <w:rsid w:val="00DD2E5F"/>
    <w:rsid w:val="00DD3F94"/>
    <w:rsid w:val="00DD4BA2"/>
    <w:rsid w:val="00DD4CD6"/>
    <w:rsid w:val="00DD4FC7"/>
    <w:rsid w:val="00DD6AE2"/>
    <w:rsid w:val="00DD79EF"/>
    <w:rsid w:val="00DD7AEB"/>
    <w:rsid w:val="00DE0070"/>
    <w:rsid w:val="00DE10D0"/>
    <w:rsid w:val="00DE14A0"/>
    <w:rsid w:val="00DE2A30"/>
    <w:rsid w:val="00DE46C1"/>
    <w:rsid w:val="00DE48E1"/>
    <w:rsid w:val="00DE4A91"/>
    <w:rsid w:val="00DE4D35"/>
    <w:rsid w:val="00DE530E"/>
    <w:rsid w:val="00DE571F"/>
    <w:rsid w:val="00DE5DFF"/>
    <w:rsid w:val="00DE6105"/>
    <w:rsid w:val="00DE728C"/>
    <w:rsid w:val="00DE7892"/>
    <w:rsid w:val="00DF07B7"/>
    <w:rsid w:val="00DF0DF7"/>
    <w:rsid w:val="00DF2EB1"/>
    <w:rsid w:val="00DF37C9"/>
    <w:rsid w:val="00DF5078"/>
    <w:rsid w:val="00DF5535"/>
    <w:rsid w:val="00DF564E"/>
    <w:rsid w:val="00DF6928"/>
    <w:rsid w:val="00DF7055"/>
    <w:rsid w:val="00E0023C"/>
    <w:rsid w:val="00E00E20"/>
    <w:rsid w:val="00E01336"/>
    <w:rsid w:val="00E01CC1"/>
    <w:rsid w:val="00E01D40"/>
    <w:rsid w:val="00E02056"/>
    <w:rsid w:val="00E03D25"/>
    <w:rsid w:val="00E0489C"/>
    <w:rsid w:val="00E05F02"/>
    <w:rsid w:val="00E05F69"/>
    <w:rsid w:val="00E06EFB"/>
    <w:rsid w:val="00E07F61"/>
    <w:rsid w:val="00E102EA"/>
    <w:rsid w:val="00E10317"/>
    <w:rsid w:val="00E10429"/>
    <w:rsid w:val="00E10ABC"/>
    <w:rsid w:val="00E10AEE"/>
    <w:rsid w:val="00E10B46"/>
    <w:rsid w:val="00E10FB6"/>
    <w:rsid w:val="00E12CA0"/>
    <w:rsid w:val="00E1406D"/>
    <w:rsid w:val="00E156A1"/>
    <w:rsid w:val="00E15B65"/>
    <w:rsid w:val="00E16224"/>
    <w:rsid w:val="00E164ED"/>
    <w:rsid w:val="00E16BDB"/>
    <w:rsid w:val="00E1736A"/>
    <w:rsid w:val="00E17A5C"/>
    <w:rsid w:val="00E17C03"/>
    <w:rsid w:val="00E2102D"/>
    <w:rsid w:val="00E2122E"/>
    <w:rsid w:val="00E22426"/>
    <w:rsid w:val="00E251A4"/>
    <w:rsid w:val="00E25240"/>
    <w:rsid w:val="00E2562E"/>
    <w:rsid w:val="00E25EE6"/>
    <w:rsid w:val="00E274B7"/>
    <w:rsid w:val="00E27698"/>
    <w:rsid w:val="00E27BFF"/>
    <w:rsid w:val="00E31902"/>
    <w:rsid w:val="00E32F7A"/>
    <w:rsid w:val="00E333EB"/>
    <w:rsid w:val="00E33A19"/>
    <w:rsid w:val="00E34C64"/>
    <w:rsid w:val="00E34E6F"/>
    <w:rsid w:val="00E355A2"/>
    <w:rsid w:val="00E35C5A"/>
    <w:rsid w:val="00E3709D"/>
    <w:rsid w:val="00E41C99"/>
    <w:rsid w:val="00E41DEE"/>
    <w:rsid w:val="00E41E9E"/>
    <w:rsid w:val="00E42418"/>
    <w:rsid w:val="00E4302E"/>
    <w:rsid w:val="00E4363B"/>
    <w:rsid w:val="00E441EA"/>
    <w:rsid w:val="00E446D9"/>
    <w:rsid w:val="00E449FE"/>
    <w:rsid w:val="00E44D82"/>
    <w:rsid w:val="00E451E0"/>
    <w:rsid w:val="00E454C2"/>
    <w:rsid w:val="00E45CC9"/>
    <w:rsid w:val="00E520C4"/>
    <w:rsid w:val="00E52F15"/>
    <w:rsid w:val="00E537B0"/>
    <w:rsid w:val="00E552FF"/>
    <w:rsid w:val="00E55C2E"/>
    <w:rsid w:val="00E564DB"/>
    <w:rsid w:val="00E565A4"/>
    <w:rsid w:val="00E571EA"/>
    <w:rsid w:val="00E60138"/>
    <w:rsid w:val="00E60CBC"/>
    <w:rsid w:val="00E61434"/>
    <w:rsid w:val="00E619D3"/>
    <w:rsid w:val="00E62017"/>
    <w:rsid w:val="00E627ED"/>
    <w:rsid w:val="00E630C2"/>
    <w:rsid w:val="00E640E2"/>
    <w:rsid w:val="00E6421F"/>
    <w:rsid w:val="00E6576A"/>
    <w:rsid w:val="00E657B1"/>
    <w:rsid w:val="00E70367"/>
    <w:rsid w:val="00E728F1"/>
    <w:rsid w:val="00E73530"/>
    <w:rsid w:val="00E73FD4"/>
    <w:rsid w:val="00E74FA0"/>
    <w:rsid w:val="00E751FF"/>
    <w:rsid w:val="00E760F7"/>
    <w:rsid w:val="00E76EFB"/>
    <w:rsid w:val="00E770AA"/>
    <w:rsid w:val="00E77B07"/>
    <w:rsid w:val="00E81E45"/>
    <w:rsid w:val="00E82101"/>
    <w:rsid w:val="00E82139"/>
    <w:rsid w:val="00E82391"/>
    <w:rsid w:val="00E827E3"/>
    <w:rsid w:val="00E84D42"/>
    <w:rsid w:val="00E852DC"/>
    <w:rsid w:val="00E85402"/>
    <w:rsid w:val="00E85691"/>
    <w:rsid w:val="00E8575D"/>
    <w:rsid w:val="00E86B5C"/>
    <w:rsid w:val="00E86BFB"/>
    <w:rsid w:val="00E90AD3"/>
    <w:rsid w:val="00E90DC2"/>
    <w:rsid w:val="00E92172"/>
    <w:rsid w:val="00E92FCE"/>
    <w:rsid w:val="00E934CD"/>
    <w:rsid w:val="00E93ECF"/>
    <w:rsid w:val="00E95356"/>
    <w:rsid w:val="00E95397"/>
    <w:rsid w:val="00E954CF"/>
    <w:rsid w:val="00E95875"/>
    <w:rsid w:val="00E9653C"/>
    <w:rsid w:val="00E96AF4"/>
    <w:rsid w:val="00E96DCA"/>
    <w:rsid w:val="00E96E7E"/>
    <w:rsid w:val="00E974D5"/>
    <w:rsid w:val="00EA0758"/>
    <w:rsid w:val="00EA0E2F"/>
    <w:rsid w:val="00EA34AE"/>
    <w:rsid w:val="00EA4490"/>
    <w:rsid w:val="00EA4793"/>
    <w:rsid w:val="00EA4B38"/>
    <w:rsid w:val="00EA6454"/>
    <w:rsid w:val="00EB07AE"/>
    <w:rsid w:val="00EB0F87"/>
    <w:rsid w:val="00EB1616"/>
    <w:rsid w:val="00EB19F0"/>
    <w:rsid w:val="00EB235E"/>
    <w:rsid w:val="00EB245D"/>
    <w:rsid w:val="00EB4138"/>
    <w:rsid w:val="00EB697A"/>
    <w:rsid w:val="00EB7743"/>
    <w:rsid w:val="00EB7A78"/>
    <w:rsid w:val="00EC0248"/>
    <w:rsid w:val="00EC0686"/>
    <w:rsid w:val="00EC1100"/>
    <w:rsid w:val="00EC1CF3"/>
    <w:rsid w:val="00EC2065"/>
    <w:rsid w:val="00EC2869"/>
    <w:rsid w:val="00EC289E"/>
    <w:rsid w:val="00EC2B69"/>
    <w:rsid w:val="00EC37F7"/>
    <w:rsid w:val="00EC4806"/>
    <w:rsid w:val="00EC56B0"/>
    <w:rsid w:val="00EC5AD1"/>
    <w:rsid w:val="00EC6C54"/>
    <w:rsid w:val="00EC7B78"/>
    <w:rsid w:val="00ED101B"/>
    <w:rsid w:val="00ED10C3"/>
    <w:rsid w:val="00ED10C7"/>
    <w:rsid w:val="00ED1389"/>
    <w:rsid w:val="00ED26D7"/>
    <w:rsid w:val="00ED317A"/>
    <w:rsid w:val="00ED3FFF"/>
    <w:rsid w:val="00ED5258"/>
    <w:rsid w:val="00ED5732"/>
    <w:rsid w:val="00ED5CF4"/>
    <w:rsid w:val="00ED5F24"/>
    <w:rsid w:val="00ED70CD"/>
    <w:rsid w:val="00EE0300"/>
    <w:rsid w:val="00EE1292"/>
    <w:rsid w:val="00EE1975"/>
    <w:rsid w:val="00EE2F24"/>
    <w:rsid w:val="00EE43AF"/>
    <w:rsid w:val="00EE4FF3"/>
    <w:rsid w:val="00EE7747"/>
    <w:rsid w:val="00EE7871"/>
    <w:rsid w:val="00EE7BF6"/>
    <w:rsid w:val="00EF0019"/>
    <w:rsid w:val="00EF02A9"/>
    <w:rsid w:val="00EF04EC"/>
    <w:rsid w:val="00EF0ABE"/>
    <w:rsid w:val="00EF11F1"/>
    <w:rsid w:val="00EF150B"/>
    <w:rsid w:val="00EF1545"/>
    <w:rsid w:val="00EF18E7"/>
    <w:rsid w:val="00EF2645"/>
    <w:rsid w:val="00EF270D"/>
    <w:rsid w:val="00EF35A0"/>
    <w:rsid w:val="00EF3C41"/>
    <w:rsid w:val="00EF500B"/>
    <w:rsid w:val="00EF66C7"/>
    <w:rsid w:val="00EF6BAA"/>
    <w:rsid w:val="00EF6C43"/>
    <w:rsid w:val="00EF6E3F"/>
    <w:rsid w:val="00EF7807"/>
    <w:rsid w:val="00EF7C51"/>
    <w:rsid w:val="00F011AC"/>
    <w:rsid w:val="00F0141B"/>
    <w:rsid w:val="00F017D0"/>
    <w:rsid w:val="00F02893"/>
    <w:rsid w:val="00F03722"/>
    <w:rsid w:val="00F04B6C"/>
    <w:rsid w:val="00F06CC2"/>
    <w:rsid w:val="00F1042E"/>
    <w:rsid w:val="00F10487"/>
    <w:rsid w:val="00F116B6"/>
    <w:rsid w:val="00F11867"/>
    <w:rsid w:val="00F1284C"/>
    <w:rsid w:val="00F13F48"/>
    <w:rsid w:val="00F1446D"/>
    <w:rsid w:val="00F154EB"/>
    <w:rsid w:val="00F17543"/>
    <w:rsid w:val="00F17BA7"/>
    <w:rsid w:val="00F20C83"/>
    <w:rsid w:val="00F21DF6"/>
    <w:rsid w:val="00F22F7F"/>
    <w:rsid w:val="00F23470"/>
    <w:rsid w:val="00F23BC2"/>
    <w:rsid w:val="00F24530"/>
    <w:rsid w:val="00F24AF7"/>
    <w:rsid w:val="00F251E3"/>
    <w:rsid w:val="00F25BAD"/>
    <w:rsid w:val="00F271DC"/>
    <w:rsid w:val="00F27981"/>
    <w:rsid w:val="00F27BAB"/>
    <w:rsid w:val="00F27CF8"/>
    <w:rsid w:val="00F27F9D"/>
    <w:rsid w:val="00F301AA"/>
    <w:rsid w:val="00F30596"/>
    <w:rsid w:val="00F30650"/>
    <w:rsid w:val="00F32F75"/>
    <w:rsid w:val="00F36183"/>
    <w:rsid w:val="00F36968"/>
    <w:rsid w:val="00F37187"/>
    <w:rsid w:val="00F40D7E"/>
    <w:rsid w:val="00F41602"/>
    <w:rsid w:val="00F41937"/>
    <w:rsid w:val="00F41EBA"/>
    <w:rsid w:val="00F4395B"/>
    <w:rsid w:val="00F43C99"/>
    <w:rsid w:val="00F44F94"/>
    <w:rsid w:val="00F454C9"/>
    <w:rsid w:val="00F4565F"/>
    <w:rsid w:val="00F4649F"/>
    <w:rsid w:val="00F466B3"/>
    <w:rsid w:val="00F46BF9"/>
    <w:rsid w:val="00F476FC"/>
    <w:rsid w:val="00F477D7"/>
    <w:rsid w:val="00F47BB5"/>
    <w:rsid w:val="00F5119F"/>
    <w:rsid w:val="00F51329"/>
    <w:rsid w:val="00F515D9"/>
    <w:rsid w:val="00F522CC"/>
    <w:rsid w:val="00F52433"/>
    <w:rsid w:val="00F53609"/>
    <w:rsid w:val="00F548A8"/>
    <w:rsid w:val="00F55744"/>
    <w:rsid w:val="00F562BB"/>
    <w:rsid w:val="00F5643E"/>
    <w:rsid w:val="00F57730"/>
    <w:rsid w:val="00F57857"/>
    <w:rsid w:val="00F608FF"/>
    <w:rsid w:val="00F60BAE"/>
    <w:rsid w:val="00F62477"/>
    <w:rsid w:val="00F624C5"/>
    <w:rsid w:val="00F628D0"/>
    <w:rsid w:val="00F62D56"/>
    <w:rsid w:val="00F6400C"/>
    <w:rsid w:val="00F64E8E"/>
    <w:rsid w:val="00F64FE5"/>
    <w:rsid w:val="00F652DF"/>
    <w:rsid w:val="00F65696"/>
    <w:rsid w:val="00F65780"/>
    <w:rsid w:val="00F65F19"/>
    <w:rsid w:val="00F66EE2"/>
    <w:rsid w:val="00F70551"/>
    <w:rsid w:val="00F705CB"/>
    <w:rsid w:val="00F7075A"/>
    <w:rsid w:val="00F71924"/>
    <w:rsid w:val="00F71EEA"/>
    <w:rsid w:val="00F720DA"/>
    <w:rsid w:val="00F72479"/>
    <w:rsid w:val="00F72887"/>
    <w:rsid w:val="00F731B2"/>
    <w:rsid w:val="00F73206"/>
    <w:rsid w:val="00F73794"/>
    <w:rsid w:val="00F73C11"/>
    <w:rsid w:val="00F74EF9"/>
    <w:rsid w:val="00F757FA"/>
    <w:rsid w:val="00F7661E"/>
    <w:rsid w:val="00F76E84"/>
    <w:rsid w:val="00F76EBC"/>
    <w:rsid w:val="00F8116A"/>
    <w:rsid w:val="00F819E4"/>
    <w:rsid w:val="00F82937"/>
    <w:rsid w:val="00F831C6"/>
    <w:rsid w:val="00F834E4"/>
    <w:rsid w:val="00F83C70"/>
    <w:rsid w:val="00F83D37"/>
    <w:rsid w:val="00F83E2F"/>
    <w:rsid w:val="00F844AD"/>
    <w:rsid w:val="00F84B00"/>
    <w:rsid w:val="00F84BE1"/>
    <w:rsid w:val="00F855E1"/>
    <w:rsid w:val="00F85FAD"/>
    <w:rsid w:val="00F86529"/>
    <w:rsid w:val="00F865BC"/>
    <w:rsid w:val="00F86786"/>
    <w:rsid w:val="00F8695B"/>
    <w:rsid w:val="00F87AE5"/>
    <w:rsid w:val="00F901D6"/>
    <w:rsid w:val="00F912A6"/>
    <w:rsid w:val="00F91454"/>
    <w:rsid w:val="00F9178C"/>
    <w:rsid w:val="00F91FB6"/>
    <w:rsid w:val="00F92B4D"/>
    <w:rsid w:val="00F92B7F"/>
    <w:rsid w:val="00F935C6"/>
    <w:rsid w:val="00F93921"/>
    <w:rsid w:val="00F94F1F"/>
    <w:rsid w:val="00F97505"/>
    <w:rsid w:val="00F97694"/>
    <w:rsid w:val="00FA1BBC"/>
    <w:rsid w:val="00FA2488"/>
    <w:rsid w:val="00FA4A9C"/>
    <w:rsid w:val="00FA51F3"/>
    <w:rsid w:val="00FA53B0"/>
    <w:rsid w:val="00FA566C"/>
    <w:rsid w:val="00FA5860"/>
    <w:rsid w:val="00FA5AEB"/>
    <w:rsid w:val="00FA5AFA"/>
    <w:rsid w:val="00FA6062"/>
    <w:rsid w:val="00FA6747"/>
    <w:rsid w:val="00FA6FD8"/>
    <w:rsid w:val="00FA7944"/>
    <w:rsid w:val="00FA7B25"/>
    <w:rsid w:val="00FB0716"/>
    <w:rsid w:val="00FB30E7"/>
    <w:rsid w:val="00FB30F6"/>
    <w:rsid w:val="00FB3386"/>
    <w:rsid w:val="00FB3977"/>
    <w:rsid w:val="00FB3F3E"/>
    <w:rsid w:val="00FB493D"/>
    <w:rsid w:val="00FB53ED"/>
    <w:rsid w:val="00FB5568"/>
    <w:rsid w:val="00FB693D"/>
    <w:rsid w:val="00FB6B80"/>
    <w:rsid w:val="00FB7416"/>
    <w:rsid w:val="00FB7C2C"/>
    <w:rsid w:val="00FC02BF"/>
    <w:rsid w:val="00FC0C73"/>
    <w:rsid w:val="00FC3815"/>
    <w:rsid w:val="00FC3B6F"/>
    <w:rsid w:val="00FC42D9"/>
    <w:rsid w:val="00FC4CEF"/>
    <w:rsid w:val="00FC5803"/>
    <w:rsid w:val="00FC58F1"/>
    <w:rsid w:val="00FC6182"/>
    <w:rsid w:val="00FC6498"/>
    <w:rsid w:val="00FC6748"/>
    <w:rsid w:val="00FC7F0E"/>
    <w:rsid w:val="00FD0568"/>
    <w:rsid w:val="00FD1A0D"/>
    <w:rsid w:val="00FD23A5"/>
    <w:rsid w:val="00FD2770"/>
    <w:rsid w:val="00FD293B"/>
    <w:rsid w:val="00FD3CB0"/>
    <w:rsid w:val="00FD406B"/>
    <w:rsid w:val="00FD4C06"/>
    <w:rsid w:val="00FD4F8F"/>
    <w:rsid w:val="00FD502C"/>
    <w:rsid w:val="00FD5665"/>
    <w:rsid w:val="00FD631D"/>
    <w:rsid w:val="00FD69DA"/>
    <w:rsid w:val="00FD7FF7"/>
    <w:rsid w:val="00FE0683"/>
    <w:rsid w:val="00FE13C4"/>
    <w:rsid w:val="00FE2BCB"/>
    <w:rsid w:val="00FE3D9E"/>
    <w:rsid w:val="00FE4CB5"/>
    <w:rsid w:val="00FE509F"/>
    <w:rsid w:val="00FE5B85"/>
    <w:rsid w:val="00FE5CE9"/>
    <w:rsid w:val="00FE737A"/>
    <w:rsid w:val="00FE7ADB"/>
    <w:rsid w:val="00FF0903"/>
    <w:rsid w:val="00FF0EC5"/>
    <w:rsid w:val="00FF1012"/>
    <w:rsid w:val="00FF1DD2"/>
    <w:rsid w:val="00FF1FFF"/>
    <w:rsid w:val="00FF220F"/>
    <w:rsid w:val="00FF3FEE"/>
    <w:rsid w:val="00FF4E73"/>
    <w:rsid w:val="00FF5320"/>
    <w:rsid w:val="00FF5E71"/>
    <w:rsid w:val="00FF5F7E"/>
    <w:rsid w:val="00FF6C0B"/>
    <w:rsid w:val="00FF6CAF"/>
    <w:rsid w:val="00FF7712"/>
    <w:rsid w:val="00FF7744"/>
    <w:rsid w:val="00FF7DA3"/>
    <w:rsid w:val="024B1936"/>
    <w:rsid w:val="04E26577"/>
    <w:rsid w:val="06897D7B"/>
    <w:rsid w:val="0B6829DB"/>
    <w:rsid w:val="0B8C7415"/>
    <w:rsid w:val="0BBC0253"/>
    <w:rsid w:val="0C5E3112"/>
    <w:rsid w:val="0CDC5B67"/>
    <w:rsid w:val="0E4A4F5B"/>
    <w:rsid w:val="0EDE1965"/>
    <w:rsid w:val="19176B57"/>
    <w:rsid w:val="1BE54E10"/>
    <w:rsid w:val="1C1C6D28"/>
    <w:rsid w:val="1C9F50B1"/>
    <w:rsid w:val="1CCC409D"/>
    <w:rsid w:val="1D4D4DC9"/>
    <w:rsid w:val="1DDA408C"/>
    <w:rsid w:val="23426190"/>
    <w:rsid w:val="23A07522"/>
    <w:rsid w:val="27500280"/>
    <w:rsid w:val="27B966A6"/>
    <w:rsid w:val="32A17FB7"/>
    <w:rsid w:val="32AE5C52"/>
    <w:rsid w:val="35B732A7"/>
    <w:rsid w:val="387B18D7"/>
    <w:rsid w:val="398C5C74"/>
    <w:rsid w:val="3A1F0C99"/>
    <w:rsid w:val="3AD36762"/>
    <w:rsid w:val="3B274768"/>
    <w:rsid w:val="3C7F650C"/>
    <w:rsid w:val="3CD003B7"/>
    <w:rsid w:val="3D173CF1"/>
    <w:rsid w:val="3E207D10"/>
    <w:rsid w:val="3E2416E5"/>
    <w:rsid w:val="3FD173BF"/>
    <w:rsid w:val="41B73126"/>
    <w:rsid w:val="420A1962"/>
    <w:rsid w:val="44343C62"/>
    <w:rsid w:val="459C5F32"/>
    <w:rsid w:val="464A5778"/>
    <w:rsid w:val="470D05DF"/>
    <w:rsid w:val="47C85F0D"/>
    <w:rsid w:val="486F05F2"/>
    <w:rsid w:val="4D3640A3"/>
    <w:rsid w:val="4DFC383F"/>
    <w:rsid w:val="4E8F66B6"/>
    <w:rsid w:val="4EB70544"/>
    <w:rsid w:val="4FF01D72"/>
    <w:rsid w:val="50C24511"/>
    <w:rsid w:val="54995FF0"/>
    <w:rsid w:val="54AE3C5A"/>
    <w:rsid w:val="556904A9"/>
    <w:rsid w:val="5AC93007"/>
    <w:rsid w:val="5BB1094C"/>
    <w:rsid w:val="5BFD2097"/>
    <w:rsid w:val="5C6F717E"/>
    <w:rsid w:val="5D552107"/>
    <w:rsid w:val="600B6CEB"/>
    <w:rsid w:val="673E265C"/>
    <w:rsid w:val="67D011DB"/>
    <w:rsid w:val="68B34E41"/>
    <w:rsid w:val="69E20683"/>
    <w:rsid w:val="6A173346"/>
    <w:rsid w:val="6C4679CA"/>
    <w:rsid w:val="6DD93CE1"/>
    <w:rsid w:val="6F0A5776"/>
    <w:rsid w:val="7655035C"/>
    <w:rsid w:val="76EC3607"/>
    <w:rsid w:val="78E64108"/>
    <w:rsid w:val="79A14681"/>
    <w:rsid w:val="79E4029C"/>
    <w:rsid w:val="79E73069"/>
    <w:rsid w:val="7D617346"/>
    <w:rsid w:val="7FE45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9"/>
    <w:pPr>
      <w:keepNext/>
      <w:keepLines/>
      <w:spacing w:before="340" w:after="330" w:line="578" w:lineRule="auto"/>
      <w:outlineLvl w:val="0"/>
    </w:pPr>
    <w:rPr>
      <w:b/>
      <w:bCs/>
      <w:kern w:val="44"/>
      <w:sz w:val="44"/>
      <w:szCs w:val="44"/>
    </w:rPr>
  </w:style>
  <w:style w:type="paragraph" w:styleId="4">
    <w:name w:val="heading 2"/>
    <w:basedOn w:val="5"/>
    <w:next w:val="1"/>
    <w:link w:val="40"/>
    <w:qFormat/>
    <w:uiPriority w:val="0"/>
    <w:pPr>
      <w:spacing w:line="360" w:lineRule="auto"/>
      <w:ind w:firstLine="0" w:firstLineChars="0"/>
      <w:outlineLvl w:val="1"/>
    </w:pPr>
    <w:rPr>
      <w:rFonts w:eastAsia="仿宋_GB2312"/>
      <w:sz w:val="32"/>
      <w:szCs w:val="32"/>
    </w:rPr>
  </w:style>
  <w:style w:type="paragraph" w:styleId="6">
    <w:name w:val="heading 3"/>
    <w:basedOn w:val="1"/>
    <w:next w:val="1"/>
    <w:link w:val="41"/>
    <w:qFormat/>
    <w:uiPriority w:val="0"/>
    <w:pPr>
      <w:keepNext/>
      <w:keepLines/>
      <w:spacing w:before="260" w:after="260" w:line="416" w:lineRule="auto"/>
      <w:outlineLvl w:val="2"/>
    </w:pPr>
    <w:rPr>
      <w:b/>
      <w:bCs/>
      <w:sz w:val="32"/>
      <w:szCs w:val="32"/>
    </w:rPr>
  </w:style>
  <w:style w:type="paragraph" w:styleId="7">
    <w:name w:val="heading 4"/>
    <w:basedOn w:val="1"/>
    <w:next w:val="1"/>
    <w:link w:val="42"/>
    <w:qFormat/>
    <w:uiPriority w:val="9"/>
    <w:pPr>
      <w:keepNext/>
      <w:keepLines/>
      <w:spacing w:before="280" w:after="290" w:line="376" w:lineRule="auto"/>
      <w:ind w:left="864" w:hanging="864"/>
      <w:outlineLvl w:val="3"/>
    </w:pPr>
    <w:rPr>
      <w:rFonts w:ascii="Cambria" w:hAnsi="Cambria"/>
      <w:b/>
      <w:bCs/>
      <w:sz w:val="28"/>
      <w:szCs w:val="28"/>
    </w:rPr>
  </w:style>
  <w:style w:type="paragraph" w:styleId="8">
    <w:name w:val="heading 5"/>
    <w:basedOn w:val="1"/>
    <w:next w:val="1"/>
    <w:link w:val="43"/>
    <w:qFormat/>
    <w:uiPriority w:val="9"/>
    <w:pPr>
      <w:keepNext/>
      <w:keepLines/>
      <w:spacing w:before="280" w:after="290" w:line="376" w:lineRule="auto"/>
      <w:ind w:left="1008" w:hanging="1008"/>
      <w:outlineLvl w:val="4"/>
    </w:pPr>
    <w:rPr>
      <w:b/>
      <w:bCs/>
      <w:sz w:val="28"/>
      <w:szCs w:val="28"/>
    </w:rPr>
  </w:style>
  <w:style w:type="paragraph" w:styleId="9">
    <w:name w:val="heading 6"/>
    <w:basedOn w:val="1"/>
    <w:next w:val="1"/>
    <w:link w:val="44"/>
    <w:qFormat/>
    <w:uiPriority w:val="9"/>
    <w:pPr>
      <w:keepNext/>
      <w:keepLines/>
      <w:spacing w:before="240" w:after="64" w:line="320" w:lineRule="auto"/>
      <w:ind w:left="1152" w:hanging="1152"/>
      <w:outlineLvl w:val="5"/>
    </w:pPr>
    <w:rPr>
      <w:rFonts w:ascii="Cambria" w:hAnsi="Cambria"/>
      <w:b/>
      <w:bCs/>
      <w:sz w:val="24"/>
      <w:szCs w:val="24"/>
    </w:rPr>
  </w:style>
  <w:style w:type="paragraph" w:styleId="10">
    <w:name w:val="heading 7"/>
    <w:basedOn w:val="1"/>
    <w:next w:val="1"/>
    <w:link w:val="45"/>
    <w:qFormat/>
    <w:uiPriority w:val="9"/>
    <w:pPr>
      <w:keepNext/>
      <w:keepLines/>
      <w:spacing w:before="240" w:after="64" w:line="320" w:lineRule="auto"/>
      <w:ind w:left="1296" w:hanging="1296"/>
      <w:outlineLvl w:val="6"/>
    </w:pPr>
    <w:rPr>
      <w:b/>
      <w:bCs/>
      <w:sz w:val="24"/>
      <w:szCs w:val="24"/>
    </w:rPr>
  </w:style>
  <w:style w:type="paragraph" w:styleId="11">
    <w:name w:val="heading 8"/>
    <w:basedOn w:val="1"/>
    <w:next w:val="1"/>
    <w:link w:val="46"/>
    <w:qFormat/>
    <w:uiPriority w:val="9"/>
    <w:pPr>
      <w:keepNext/>
      <w:keepLines/>
      <w:spacing w:before="240" w:after="64" w:line="320" w:lineRule="auto"/>
      <w:ind w:left="1440" w:hanging="1440"/>
      <w:outlineLvl w:val="7"/>
    </w:pPr>
    <w:rPr>
      <w:rFonts w:ascii="Cambria" w:hAnsi="Cambria"/>
      <w:sz w:val="24"/>
      <w:szCs w:val="24"/>
    </w:rPr>
  </w:style>
  <w:style w:type="paragraph" w:styleId="12">
    <w:name w:val="heading 9"/>
    <w:basedOn w:val="1"/>
    <w:next w:val="1"/>
    <w:link w:val="47"/>
    <w:qFormat/>
    <w:uiPriority w:val="9"/>
    <w:pPr>
      <w:keepNext/>
      <w:keepLines/>
      <w:spacing w:before="240" w:after="64" w:line="320" w:lineRule="auto"/>
      <w:ind w:left="1584" w:hanging="1584"/>
      <w:outlineLvl w:val="8"/>
    </w:pPr>
    <w:rPr>
      <w:rFonts w:ascii="Cambria" w:hAnsi="Cambria"/>
      <w:szCs w:val="21"/>
    </w:rPr>
  </w:style>
  <w:style w:type="character" w:default="1" w:styleId="32">
    <w:name w:val="Default Paragraph Font"/>
    <w:semiHidden/>
    <w:unhideWhenUsed/>
    <w:qFormat/>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Arial" w:hAnsi="Arial" w:eastAsia="仿宋_GB2312"/>
      <w:sz w:val="30"/>
    </w:rPr>
  </w:style>
  <w:style w:type="paragraph" w:styleId="5">
    <w:name w:val="List Paragraph"/>
    <w:basedOn w:val="1"/>
    <w:qFormat/>
    <w:uiPriority w:val="34"/>
    <w:pPr>
      <w:ind w:firstLine="420" w:firstLineChars="200"/>
    </w:pPr>
  </w:style>
  <w:style w:type="paragraph" w:styleId="13">
    <w:name w:val="annotation subject"/>
    <w:basedOn w:val="14"/>
    <w:next w:val="14"/>
    <w:link w:val="57"/>
    <w:unhideWhenUsed/>
    <w:qFormat/>
    <w:uiPriority w:val="99"/>
    <w:pPr>
      <w:autoSpaceDE w:val="0"/>
      <w:autoSpaceDN w:val="0"/>
      <w:spacing w:line="440" w:lineRule="exact"/>
      <w:ind w:firstLine="200" w:firstLineChars="200"/>
    </w:pPr>
    <w:rPr>
      <w:rFonts w:cs="宋体"/>
      <w:b/>
      <w:bCs/>
      <w:kern w:val="0"/>
      <w:sz w:val="24"/>
      <w:lang w:val="zh-CN" w:bidi="zh-CN"/>
    </w:rPr>
  </w:style>
  <w:style w:type="paragraph" w:styleId="14">
    <w:name w:val="annotation text"/>
    <w:basedOn w:val="1"/>
    <w:link w:val="55"/>
    <w:unhideWhenUsed/>
    <w:qFormat/>
    <w:uiPriority w:val="99"/>
    <w:pPr>
      <w:jc w:val="left"/>
    </w:pPr>
  </w:style>
  <w:style w:type="paragraph" w:styleId="15">
    <w:name w:val="toc 7"/>
    <w:basedOn w:val="1"/>
    <w:next w:val="1"/>
    <w:unhideWhenUsed/>
    <w:qFormat/>
    <w:uiPriority w:val="39"/>
    <w:pPr>
      <w:ind w:left="2520" w:leftChars="1200"/>
    </w:pPr>
    <w:rPr>
      <w:rFonts w:asciiTheme="minorHAnsi" w:hAnsiTheme="minorHAnsi" w:eastAsiaTheme="minorEastAsia" w:cstheme="minorBidi"/>
    </w:rPr>
  </w:style>
  <w:style w:type="paragraph" w:styleId="16">
    <w:name w:val="Document Map"/>
    <w:basedOn w:val="1"/>
    <w:link w:val="50"/>
    <w:unhideWhenUsed/>
    <w:qFormat/>
    <w:uiPriority w:val="99"/>
    <w:rPr>
      <w:rFonts w:ascii="宋体"/>
      <w:sz w:val="18"/>
      <w:szCs w:val="18"/>
    </w:rPr>
  </w:style>
  <w:style w:type="paragraph" w:styleId="17">
    <w:name w:val="Body Text"/>
    <w:basedOn w:val="1"/>
    <w:link w:val="58"/>
    <w:qFormat/>
    <w:uiPriority w:val="1"/>
    <w:pPr>
      <w:autoSpaceDE w:val="0"/>
      <w:autoSpaceDN w:val="0"/>
      <w:spacing w:line="440" w:lineRule="exact"/>
      <w:ind w:firstLine="200" w:firstLineChars="200"/>
    </w:pPr>
    <w:rPr>
      <w:rFonts w:cs="宋体"/>
      <w:kern w:val="0"/>
      <w:sz w:val="24"/>
      <w:szCs w:val="24"/>
      <w:lang w:val="zh-CN" w:bidi="zh-CN"/>
    </w:rPr>
  </w:style>
  <w:style w:type="paragraph" w:styleId="18">
    <w:name w:val="toc 5"/>
    <w:basedOn w:val="1"/>
    <w:next w:val="1"/>
    <w:unhideWhenUsed/>
    <w:qFormat/>
    <w:uiPriority w:val="39"/>
    <w:pPr>
      <w:ind w:left="1680" w:leftChars="800"/>
    </w:pPr>
    <w:rPr>
      <w:rFonts w:asciiTheme="minorHAnsi" w:hAnsiTheme="minorHAnsi" w:eastAsiaTheme="minorEastAsia" w:cstheme="minorBidi"/>
    </w:rPr>
  </w:style>
  <w:style w:type="paragraph" w:styleId="19">
    <w:name w:val="toc 3"/>
    <w:basedOn w:val="1"/>
    <w:next w:val="1"/>
    <w:unhideWhenUsed/>
    <w:qFormat/>
    <w:uiPriority w:val="39"/>
    <w:pPr>
      <w:widowControl/>
      <w:spacing w:after="100" w:line="259" w:lineRule="auto"/>
      <w:ind w:left="440"/>
      <w:jc w:val="left"/>
    </w:pPr>
    <w:rPr>
      <w:kern w:val="0"/>
      <w:sz w:val="22"/>
    </w:rPr>
  </w:style>
  <w:style w:type="paragraph" w:styleId="20">
    <w:name w:val="toc 8"/>
    <w:basedOn w:val="1"/>
    <w:next w:val="1"/>
    <w:unhideWhenUsed/>
    <w:qFormat/>
    <w:uiPriority w:val="39"/>
    <w:pPr>
      <w:ind w:left="2940" w:leftChars="1400"/>
    </w:pPr>
    <w:rPr>
      <w:rFonts w:asciiTheme="minorHAnsi" w:hAnsiTheme="minorHAnsi" w:eastAsiaTheme="minorEastAsia" w:cstheme="minorBidi"/>
    </w:rPr>
  </w:style>
  <w:style w:type="paragraph" w:styleId="21">
    <w:name w:val="Date"/>
    <w:basedOn w:val="1"/>
    <w:next w:val="1"/>
    <w:link w:val="54"/>
    <w:unhideWhenUsed/>
    <w:qFormat/>
    <w:uiPriority w:val="99"/>
    <w:pPr>
      <w:ind w:left="100" w:leftChars="2500"/>
    </w:pPr>
  </w:style>
  <w:style w:type="paragraph" w:styleId="22">
    <w:name w:val="Balloon Text"/>
    <w:basedOn w:val="1"/>
    <w:link w:val="49"/>
    <w:unhideWhenUsed/>
    <w:qFormat/>
    <w:uiPriority w:val="99"/>
    <w:rPr>
      <w:sz w:val="18"/>
      <w:szCs w:val="18"/>
    </w:rPr>
  </w:style>
  <w:style w:type="paragraph" w:styleId="23">
    <w:name w:val="footer"/>
    <w:basedOn w:val="1"/>
    <w:link w:val="56"/>
    <w:unhideWhenUsed/>
    <w:qFormat/>
    <w:uiPriority w:val="99"/>
    <w:pPr>
      <w:tabs>
        <w:tab w:val="center" w:pos="4153"/>
        <w:tab w:val="right" w:pos="8306"/>
      </w:tabs>
      <w:snapToGrid w:val="0"/>
      <w:jc w:val="left"/>
    </w:pPr>
    <w:rPr>
      <w:sz w:val="18"/>
      <w:szCs w:val="18"/>
    </w:rPr>
  </w:style>
  <w:style w:type="paragraph" w:styleId="24">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unhideWhenUsed/>
    <w:qFormat/>
    <w:uiPriority w:val="39"/>
    <w:pPr>
      <w:widowControl/>
      <w:spacing w:after="100" w:line="259" w:lineRule="auto"/>
      <w:jc w:val="left"/>
    </w:pPr>
    <w:rPr>
      <w:kern w:val="0"/>
      <w:sz w:val="22"/>
    </w:rPr>
  </w:style>
  <w:style w:type="paragraph" w:styleId="26">
    <w:name w:val="toc 4"/>
    <w:basedOn w:val="1"/>
    <w:next w:val="1"/>
    <w:unhideWhenUsed/>
    <w:qFormat/>
    <w:uiPriority w:val="39"/>
    <w:pPr>
      <w:ind w:left="1260" w:leftChars="600"/>
    </w:pPr>
    <w:rPr>
      <w:rFonts w:asciiTheme="minorHAnsi" w:hAnsiTheme="minorHAnsi" w:eastAsiaTheme="minorEastAsia" w:cstheme="minorBidi"/>
    </w:rPr>
  </w:style>
  <w:style w:type="paragraph" w:styleId="27">
    <w:name w:val="toc 6"/>
    <w:basedOn w:val="1"/>
    <w:next w:val="1"/>
    <w:unhideWhenUsed/>
    <w:qFormat/>
    <w:uiPriority w:val="39"/>
    <w:pPr>
      <w:ind w:left="2100" w:leftChars="1000"/>
    </w:pPr>
    <w:rPr>
      <w:rFonts w:asciiTheme="minorHAnsi" w:hAnsiTheme="minorHAnsi" w:eastAsiaTheme="minorEastAsia" w:cstheme="minorBidi"/>
    </w:rPr>
  </w:style>
  <w:style w:type="paragraph" w:styleId="28">
    <w:name w:val="toc 2"/>
    <w:basedOn w:val="1"/>
    <w:next w:val="1"/>
    <w:unhideWhenUsed/>
    <w:qFormat/>
    <w:uiPriority w:val="39"/>
    <w:pPr>
      <w:widowControl/>
      <w:spacing w:after="100" w:line="259" w:lineRule="auto"/>
      <w:ind w:left="220"/>
      <w:jc w:val="left"/>
    </w:pPr>
    <w:rPr>
      <w:kern w:val="0"/>
      <w:sz w:val="22"/>
    </w:rPr>
  </w:style>
  <w:style w:type="paragraph" w:styleId="29">
    <w:name w:val="toc 9"/>
    <w:basedOn w:val="1"/>
    <w:next w:val="1"/>
    <w:unhideWhenUsed/>
    <w:qFormat/>
    <w:uiPriority w:val="39"/>
    <w:pPr>
      <w:ind w:left="3360" w:leftChars="1600"/>
    </w:pPr>
    <w:rPr>
      <w:rFonts w:asciiTheme="minorHAnsi" w:hAnsiTheme="minorHAnsi" w:eastAsiaTheme="minorEastAsia" w:cstheme="minorBidi"/>
    </w:rPr>
  </w:style>
  <w:style w:type="paragraph" w:styleId="3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1">
    <w:name w:val="Title"/>
    <w:next w:val="1"/>
    <w:link w:val="53"/>
    <w:qFormat/>
    <w:uiPriority w:val="10"/>
    <w:pPr>
      <w:widowControl w:val="0"/>
      <w:autoSpaceDE w:val="0"/>
      <w:autoSpaceDN w:val="0"/>
      <w:spacing w:line="440" w:lineRule="exact"/>
      <w:ind w:right="-113"/>
      <w:jc w:val="center"/>
    </w:pPr>
    <w:rPr>
      <w:rFonts w:ascii="Times New Roman" w:hAnsi="Times New Roman" w:eastAsia="宋体" w:cs="宋体"/>
      <w:b/>
      <w:sz w:val="21"/>
      <w:szCs w:val="48"/>
      <w:lang w:val="zh-CN" w:eastAsia="zh-CN" w:bidi="zh-CN"/>
    </w:rPr>
  </w:style>
  <w:style w:type="character" w:styleId="33">
    <w:name w:val="page number"/>
    <w:basedOn w:val="32"/>
    <w:qFormat/>
    <w:uiPriority w:val="0"/>
  </w:style>
  <w:style w:type="character" w:styleId="34">
    <w:name w:val="Emphasis"/>
    <w:basedOn w:val="32"/>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21"/>
      <w:szCs w:val="21"/>
    </w:rPr>
  </w:style>
  <w:style w:type="table" w:styleId="38">
    <w:name w:val="Table Grid"/>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9">
    <w:name w:val="标题 1 Char"/>
    <w:link w:val="3"/>
    <w:qFormat/>
    <w:uiPriority w:val="9"/>
    <w:rPr>
      <w:b/>
      <w:bCs/>
      <w:kern w:val="44"/>
      <w:sz w:val="44"/>
      <w:szCs w:val="44"/>
    </w:rPr>
  </w:style>
  <w:style w:type="character" w:customStyle="1" w:styleId="40">
    <w:name w:val="标题 2 Char"/>
    <w:link w:val="4"/>
    <w:qFormat/>
    <w:uiPriority w:val="0"/>
    <w:rPr>
      <w:rFonts w:eastAsia="仿宋_GB2312"/>
      <w:kern w:val="2"/>
      <w:sz w:val="32"/>
      <w:szCs w:val="32"/>
    </w:rPr>
  </w:style>
  <w:style w:type="character" w:customStyle="1" w:styleId="41">
    <w:name w:val="标题 3 Char"/>
    <w:link w:val="6"/>
    <w:qFormat/>
    <w:uiPriority w:val="9"/>
    <w:rPr>
      <w:b/>
      <w:bCs/>
      <w:sz w:val="32"/>
      <w:szCs w:val="32"/>
    </w:rPr>
  </w:style>
  <w:style w:type="character" w:customStyle="1" w:styleId="42">
    <w:name w:val="标题 4 Char"/>
    <w:link w:val="7"/>
    <w:qFormat/>
    <w:uiPriority w:val="9"/>
    <w:rPr>
      <w:rFonts w:ascii="Cambria" w:hAnsi="Cambria"/>
      <w:b/>
      <w:bCs/>
      <w:kern w:val="2"/>
      <w:sz w:val="28"/>
      <w:szCs w:val="28"/>
    </w:rPr>
  </w:style>
  <w:style w:type="character" w:customStyle="1" w:styleId="43">
    <w:name w:val="标题 5 Char"/>
    <w:link w:val="8"/>
    <w:qFormat/>
    <w:uiPriority w:val="9"/>
    <w:rPr>
      <w:b/>
      <w:bCs/>
      <w:kern w:val="2"/>
      <w:sz w:val="28"/>
      <w:szCs w:val="28"/>
    </w:rPr>
  </w:style>
  <w:style w:type="character" w:customStyle="1" w:styleId="44">
    <w:name w:val="标题 6 Char"/>
    <w:link w:val="9"/>
    <w:qFormat/>
    <w:uiPriority w:val="9"/>
    <w:rPr>
      <w:rFonts w:ascii="Cambria" w:hAnsi="Cambria"/>
      <w:b/>
      <w:bCs/>
      <w:kern w:val="2"/>
      <w:sz w:val="24"/>
      <w:szCs w:val="24"/>
    </w:rPr>
  </w:style>
  <w:style w:type="character" w:customStyle="1" w:styleId="45">
    <w:name w:val="标题 7 Char"/>
    <w:link w:val="10"/>
    <w:qFormat/>
    <w:uiPriority w:val="9"/>
    <w:rPr>
      <w:b/>
      <w:bCs/>
      <w:kern w:val="2"/>
      <w:sz w:val="24"/>
      <w:szCs w:val="24"/>
    </w:rPr>
  </w:style>
  <w:style w:type="character" w:customStyle="1" w:styleId="46">
    <w:name w:val="标题 8 Char"/>
    <w:link w:val="11"/>
    <w:qFormat/>
    <w:uiPriority w:val="9"/>
    <w:rPr>
      <w:rFonts w:ascii="Cambria" w:hAnsi="Cambria"/>
      <w:kern w:val="2"/>
      <w:sz w:val="24"/>
      <w:szCs w:val="24"/>
    </w:rPr>
  </w:style>
  <w:style w:type="character" w:customStyle="1" w:styleId="47">
    <w:name w:val="标题 9 Char"/>
    <w:link w:val="12"/>
    <w:qFormat/>
    <w:uiPriority w:val="9"/>
    <w:rPr>
      <w:rFonts w:ascii="Cambria" w:hAnsi="Cambria"/>
      <w:kern w:val="2"/>
      <w:sz w:val="21"/>
      <w:szCs w:val="21"/>
    </w:rPr>
  </w:style>
  <w:style w:type="character" w:styleId="48">
    <w:name w:val="Placeholder Text"/>
    <w:semiHidden/>
    <w:qFormat/>
    <w:uiPriority w:val="99"/>
    <w:rPr>
      <w:color w:val="808080"/>
    </w:rPr>
  </w:style>
  <w:style w:type="character" w:customStyle="1" w:styleId="49">
    <w:name w:val="批注框文本 Char"/>
    <w:link w:val="22"/>
    <w:semiHidden/>
    <w:qFormat/>
    <w:uiPriority w:val="99"/>
    <w:rPr>
      <w:sz w:val="18"/>
      <w:szCs w:val="18"/>
    </w:rPr>
  </w:style>
  <w:style w:type="character" w:customStyle="1" w:styleId="50">
    <w:name w:val="文档结构图 Char"/>
    <w:link w:val="16"/>
    <w:semiHidden/>
    <w:qFormat/>
    <w:uiPriority w:val="99"/>
    <w:rPr>
      <w:rFonts w:ascii="宋体" w:eastAsia="宋体"/>
      <w:sz w:val="18"/>
      <w:szCs w:val="18"/>
    </w:rPr>
  </w:style>
  <w:style w:type="character" w:customStyle="1" w:styleId="51">
    <w:name w:val="批注文字 Char"/>
    <w:semiHidden/>
    <w:qFormat/>
    <w:uiPriority w:val="99"/>
    <w:rPr>
      <w:rFonts w:ascii="Times New Roman" w:hAnsi="Times New Roman" w:eastAsia="宋体" w:cs="宋体"/>
      <w:sz w:val="24"/>
      <w:lang w:val="zh-CN" w:eastAsia="zh-CN" w:bidi="zh-CN"/>
    </w:rPr>
  </w:style>
  <w:style w:type="character" w:customStyle="1" w:styleId="52">
    <w:name w:val="页眉 Char"/>
    <w:link w:val="24"/>
    <w:qFormat/>
    <w:uiPriority w:val="99"/>
    <w:rPr>
      <w:sz w:val="18"/>
      <w:szCs w:val="18"/>
    </w:rPr>
  </w:style>
  <w:style w:type="character" w:customStyle="1" w:styleId="53">
    <w:name w:val="标题 Char"/>
    <w:link w:val="31"/>
    <w:qFormat/>
    <w:uiPriority w:val="10"/>
    <w:rPr>
      <w:rFonts w:cs="宋体"/>
      <w:b/>
      <w:sz w:val="21"/>
      <w:szCs w:val="48"/>
      <w:lang w:val="zh-CN" w:bidi="zh-CN"/>
    </w:rPr>
  </w:style>
  <w:style w:type="character" w:customStyle="1" w:styleId="54">
    <w:name w:val="日期 Char"/>
    <w:basedOn w:val="32"/>
    <w:link w:val="21"/>
    <w:semiHidden/>
    <w:qFormat/>
    <w:uiPriority w:val="99"/>
  </w:style>
  <w:style w:type="character" w:customStyle="1" w:styleId="55">
    <w:name w:val="批注文字 Char1"/>
    <w:link w:val="14"/>
    <w:qFormat/>
    <w:uiPriority w:val="99"/>
    <w:rPr>
      <w:kern w:val="2"/>
      <w:sz w:val="21"/>
      <w:szCs w:val="22"/>
    </w:rPr>
  </w:style>
  <w:style w:type="character" w:customStyle="1" w:styleId="56">
    <w:name w:val="页脚 Char"/>
    <w:link w:val="23"/>
    <w:qFormat/>
    <w:uiPriority w:val="99"/>
    <w:rPr>
      <w:sz w:val="18"/>
      <w:szCs w:val="18"/>
    </w:rPr>
  </w:style>
  <w:style w:type="character" w:customStyle="1" w:styleId="57">
    <w:name w:val="批注主题 Char"/>
    <w:link w:val="13"/>
    <w:semiHidden/>
    <w:qFormat/>
    <w:uiPriority w:val="99"/>
    <w:rPr>
      <w:rFonts w:cs="宋体"/>
      <w:b/>
      <w:bCs/>
      <w:kern w:val="2"/>
      <w:sz w:val="24"/>
      <w:szCs w:val="22"/>
      <w:lang w:val="zh-CN" w:bidi="zh-CN"/>
    </w:rPr>
  </w:style>
  <w:style w:type="character" w:customStyle="1" w:styleId="58">
    <w:name w:val="正文文本 Char"/>
    <w:link w:val="17"/>
    <w:qFormat/>
    <w:uiPriority w:val="1"/>
    <w:rPr>
      <w:rFonts w:cs="宋体"/>
      <w:sz w:val="24"/>
      <w:szCs w:val="24"/>
      <w:lang w:val="zh-CN" w:bidi="zh-CN"/>
    </w:rPr>
  </w:style>
  <w:style w:type="paragraph" w:customStyle="1" w:styleId="59">
    <w:name w:val="Table Paragraph"/>
    <w:basedOn w:val="1"/>
    <w:qFormat/>
    <w:uiPriority w:val="1"/>
    <w:pPr>
      <w:autoSpaceDE w:val="0"/>
      <w:autoSpaceDN w:val="0"/>
      <w:spacing w:line="440" w:lineRule="exact"/>
      <w:ind w:firstLine="200" w:firstLineChars="200"/>
    </w:pPr>
    <w:rPr>
      <w:rFonts w:cs="宋体"/>
      <w:kern w:val="0"/>
      <w:sz w:val="24"/>
      <w:lang w:val="zh-CN" w:bidi="zh-CN"/>
    </w:rPr>
  </w:style>
  <w:style w:type="paragraph" w:customStyle="1" w:styleId="60">
    <w:name w:val="TOC 标题1"/>
    <w:basedOn w:val="3"/>
    <w:next w:val="1"/>
    <w:unhideWhenUsed/>
    <w:qFormat/>
    <w:uiPriority w:val="39"/>
    <w:pPr>
      <w:widowControl/>
      <w:spacing w:before="240" w:after="0" w:line="259" w:lineRule="auto"/>
      <w:jc w:val="left"/>
      <w:outlineLvl w:val="9"/>
    </w:pPr>
    <w:rPr>
      <w:rFonts w:ascii="Cambria" w:hAnsi="Cambria"/>
      <w:b w:val="0"/>
      <w:bCs w:val="0"/>
      <w:color w:val="366091"/>
      <w:kern w:val="0"/>
      <w:sz w:val="32"/>
      <w:szCs w:val="32"/>
    </w:rPr>
  </w:style>
  <w:style w:type="paragraph" w:customStyle="1" w:styleId="61">
    <w:name w:val="TOC 标题11"/>
    <w:basedOn w:val="3"/>
    <w:next w:val="1"/>
    <w:unhideWhenUsed/>
    <w:qFormat/>
    <w:uiPriority w:val="39"/>
    <w:pPr>
      <w:widowControl/>
      <w:spacing w:before="240" w:after="100" w:afterLines="100" w:line="259" w:lineRule="auto"/>
      <w:jc w:val="left"/>
      <w:outlineLvl w:val="9"/>
    </w:pPr>
    <w:rPr>
      <w:rFonts w:ascii="Cambria" w:hAnsi="Cambria"/>
      <w:b w:val="0"/>
      <w:bCs w:val="0"/>
      <w:color w:val="365F91"/>
      <w:kern w:val="0"/>
      <w:sz w:val="32"/>
      <w:szCs w:val="32"/>
    </w:rPr>
  </w:style>
  <w:style w:type="paragraph" w:customStyle="1" w:styleId="62">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paragraph" w:customStyle="1" w:styleId="63">
    <w:name w:val="TOC 标题2"/>
    <w:basedOn w:val="3"/>
    <w:next w:val="1"/>
    <w:unhideWhenUsed/>
    <w:qFormat/>
    <w:uiPriority w:val="39"/>
    <w:pPr>
      <w:widowControl/>
      <w:spacing w:before="240" w:after="100" w:afterLines="100" w:line="259" w:lineRule="auto"/>
      <w:jc w:val="left"/>
      <w:outlineLvl w:val="9"/>
    </w:pPr>
    <w:rPr>
      <w:rFonts w:ascii="Cambria" w:hAnsi="Cambria"/>
      <w:b w:val="0"/>
      <w:bCs w:val="0"/>
      <w:color w:val="365F91"/>
      <w:kern w:val="0"/>
      <w:sz w:val="32"/>
      <w:szCs w:val="32"/>
    </w:rPr>
  </w:style>
  <w:style w:type="table" w:customStyle="1" w:styleId="64">
    <w:name w:val="网格型4"/>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5">
    <w:name w:val="网格型5"/>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6">
    <w:name w:val="Table Normal"/>
    <w:unhideWhenUsed/>
    <w:qFormat/>
    <w:uiPriority w:val="2"/>
    <w:pPr>
      <w:widowControl w:val="0"/>
      <w:autoSpaceDE w:val="0"/>
      <w:autoSpaceDN w:val="0"/>
    </w:pPr>
    <w:rPr>
      <w:rFonts w:ascii="Calibri" w:hAnsi="Calibri"/>
      <w:sz w:val="22"/>
      <w:szCs w:val="22"/>
      <w:lang w:eastAsia="en-US"/>
    </w:rPr>
    <w:tblPr>
      <w:tblLayout w:type="fixed"/>
      <w:tblCellMar>
        <w:top w:w="0" w:type="dxa"/>
        <w:left w:w="0" w:type="dxa"/>
        <w:bottom w:w="0" w:type="dxa"/>
        <w:right w:w="0" w:type="dxa"/>
      </w:tblCellMar>
    </w:tblPr>
  </w:style>
  <w:style w:type="table" w:customStyle="1" w:styleId="67">
    <w:name w:val="网格型2"/>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8">
    <w:name w:val="Table Normal1"/>
    <w:unhideWhenUsed/>
    <w:qFormat/>
    <w:uiPriority w:val="2"/>
    <w:pPr>
      <w:widowControl w:val="0"/>
      <w:autoSpaceDE w:val="0"/>
      <w:autoSpaceDN w:val="0"/>
    </w:pPr>
    <w:rPr>
      <w:rFonts w:ascii="Calibri" w:hAnsi="Calibri"/>
      <w:sz w:val="22"/>
      <w:szCs w:val="22"/>
      <w:lang w:eastAsia="en-US"/>
    </w:rPr>
    <w:tblPr>
      <w:tblLayout w:type="fixed"/>
      <w:tblCellMar>
        <w:top w:w="0" w:type="dxa"/>
        <w:left w:w="0" w:type="dxa"/>
        <w:bottom w:w="0" w:type="dxa"/>
        <w:right w:w="0" w:type="dxa"/>
      </w:tblCellMar>
    </w:tblPr>
  </w:style>
  <w:style w:type="table" w:customStyle="1" w:styleId="69">
    <w:name w:val="网格型1"/>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70">
    <w:name w:val="网格型3"/>
    <w:basedOn w:val="37"/>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1">
    <w:name w:val="Char Char Char Char"/>
    <w:basedOn w:val="1"/>
    <w:qFormat/>
    <w:uiPriority w:val="0"/>
    <w:pPr>
      <w:spacing w:line="300" w:lineRule="auto"/>
      <w:ind w:left="432" w:firstLine="200" w:firstLineChars="200"/>
    </w:pPr>
    <w:rPr>
      <w:sz w:val="24"/>
      <w:szCs w:val="24"/>
    </w:rPr>
  </w:style>
  <w:style w:type="paragraph" w:customStyle="1" w:styleId="72">
    <w:name w:val="Char Char Char Char1"/>
    <w:basedOn w:val="1"/>
    <w:qFormat/>
    <w:uiPriority w:val="0"/>
    <w:pPr>
      <w:spacing w:line="300" w:lineRule="auto"/>
      <w:ind w:left="432" w:firstLine="200" w:firstLineChars="200"/>
    </w:pPr>
    <w:rPr>
      <w:sz w:val="24"/>
      <w:szCs w:val="24"/>
    </w:rPr>
  </w:style>
  <w:style w:type="paragraph" w:customStyle="1" w:styleId="73">
    <w:name w:val="TOC 标题3"/>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段"/>
    <w:link w:val="7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75">
    <w:name w:val="段 Char"/>
    <w:link w:val="74"/>
    <w:qFormat/>
    <w:uiPriority w:val="0"/>
    <w:rPr>
      <w:rFonts w:ascii="宋体"/>
      <w:sz w:val="21"/>
    </w:rPr>
  </w:style>
  <w:style w:type="table" w:customStyle="1" w:styleId="76">
    <w:name w:val="网格型6"/>
    <w:basedOn w:val="37"/>
    <w:qFormat/>
    <w:uiPriority w:val="0"/>
    <w:pPr>
      <w:numPr>
        <w:numId w:val="1"/>
      </w:numPr>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7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8">
    <w:name w:val="二级无"/>
    <w:basedOn w:val="79"/>
    <w:qFormat/>
    <w:uiPriority w:val="99"/>
    <w:pPr>
      <w:spacing w:before="0" w:beforeLines="0" w:after="0" w:afterLines="0"/>
    </w:pPr>
    <w:rPr>
      <w:rFonts w:ascii="宋体" w:eastAsia="宋体" w:cs="宋体"/>
    </w:rPr>
  </w:style>
  <w:style w:type="paragraph" w:customStyle="1" w:styleId="79">
    <w:name w:val="二级条标题"/>
    <w:basedOn w:val="80"/>
    <w:next w:val="74"/>
    <w:qFormat/>
    <w:uiPriority w:val="0"/>
    <w:pPr>
      <w:numPr>
        <w:ilvl w:val="2"/>
        <w:numId w:val="2"/>
      </w:numPr>
      <w:spacing w:before="50" w:after="50"/>
      <w:outlineLvl w:val="3"/>
    </w:pPr>
  </w:style>
  <w:style w:type="paragraph" w:customStyle="1" w:styleId="80">
    <w:name w:val="一级条标题"/>
    <w:next w:val="74"/>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27834F-99E4-41F7-9BE4-6130A340F113}">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微软(中国)有限公司</Company>
  <Pages>16</Pages>
  <Words>686</Words>
  <Characters>736</Characters>
  <Lines>185</Lines>
  <Paragraphs>52</Paragraphs>
  <TotalTime>5</TotalTime>
  <ScaleCrop>false</ScaleCrop>
  <LinksUpToDate>false</LinksUpToDate>
  <CharactersWithSpaces>789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2022-05-11T01:08:00Z</dcterms:created>
  <dc:creator>Lenovo User</dc:creator>
  <cp:lastModifiedBy>九眼莲</cp:lastModifiedBy>
  <cp:lastPrinted>2020-06-15T03:21:00Z</cp:lastPrinted>
  <dcterms:modified xsi:type="dcterms:W3CDTF">2025-04-03T03:05:41Z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KSOTemplateDocerSaveRecord">
    <vt:lpwstr>eyJoZGlkIjoiNjllMzgzOTk0ZjU3MmFkOGY1NDM3MmMyYzRkY2VkOWYiLCJ1c2VySWQiOiIzMTg3NDUzMTMifQ==</vt:lpwstr>
  </property>
  <property fmtid="{D5CDD505-2E9C-101B-9397-08002B2CF9AE}" pid="4" name="ICV">
    <vt:lpwstr>EA10B671260C4A5BB60A2A383094F35C_12</vt:lpwstr>
  </property>
</Properties>
</file>